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5A" w:rsidRPr="00FF475A" w:rsidRDefault="00FF475A" w:rsidP="00FF475A">
      <w:pPr>
        <w:spacing w:afterLines="100" w:after="312"/>
        <w:jc w:val="left"/>
        <w:rPr>
          <w:rFonts w:ascii="黑体" w:eastAsia="黑体" w:hAnsi="黑体" w:cs="宋体"/>
          <w:b/>
          <w:bCs/>
          <w:sz w:val="32"/>
          <w:szCs w:val="32"/>
        </w:rPr>
      </w:pPr>
      <w:r w:rsidRPr="00FF475A">
        <w:rPr>
          <w:rFonts w:ascii="黑体" w:eastAsia="黑体" w:hAnsi="黑体" w:cs="宋体" w:hint="eastAsia"/>
          <w:b/>
          <w:bCs/>
          <w:sz w:val="32"/>
          <w:szCs w:val="32"/>
        </w:rPr>
        <w:t>附件1</w:t>
      </w:r>
    </w:p>
    <w:p w:rsidR="007B6A08" w:rsidRPr="007B6A08" w:rsidRDefault="0090413A" w:rsidP="00DD2A75">
      <w:pPr>
        <w:spacing w:afterLines="100" w:after="312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宋体" w:hint="eastAsia"/>
          <w:b/>
          <w:bCs/>
          <w:sz w:val="40"/>
          <w:szCs w:val="40"/>
        </w:rPr>
        <w:t>中国矿业大学</w:t>
      </w:r>
      <w:r w:rsidR="007B6A08" w:rsidRPr="007B6A08">
        <w:rPr>
          <w:rFonts w:ascii="黑体" w:eastAsia="黑体" w:hAnsi="黑体" w:cs="宋体" w:hint="eastAsia"/>
          <w:b/>
          <w:bCs/>
          <w:sz w:val="40"/>
          <w:szCs w:val="40"/>
        </w:rPr>
        <w:t>学位授权点</w:t>
      </w:r>
      <w:r w:rsidR="00911F93">
        <w:rPr>
          <w:rFonts w:ascii="黑体" w:eastAsia="黑体" w:hAnsi="黑体" w:cs="宋体" w:hint="eastAsia"/>
          <w:b/>
          <w:bCs/>
          <w:sz w:val="40"/>
          <w:szCs w:val="40"/>
        </w:rPr>
        <w:t>自我</w:t>
      </w:r>
      <w:r w:rsidR="007B6A08" w:rsidRPr="007B6A08">
        <w:rPr>
          <w:rFonts w:ascii="黑体" w:eastAsia="黑体" w:hAnsi="黑体" w:cs="宋体" w:hint="eastAsia"/>
          <w:b/>
          <w:bCs/>
          <w:sz w:val="40"/>
          <w:szCs w:val="40"/>
        </w:rPr>
        <w:t>评估工作方案</w:t>
      </w:r>
    </w:p>
    <w:p w:rsidR="0034324A" w:rsidRDefault="0034324A" w:rsidP="007B6A08">
      <w:pPr>
        <w:widowControl/>
        <w:spacing w:line="15" w:lineRule="atLeast"/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</w:p>
    <w:p w:rsidR="007B6A08" w:rsidRPr="00FE78BD" w:rsidRDefault="007B6A08" w:rsidP="00FE78BD">
      <w:pPr>
        <w:widowControl/>
        <w:spacing w:line="15" w:lineRule="atLeast"/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根据国务院学位办《</w:t>
      </w:r>
      <w:hyperlink r:id="rId8" w:tgtFrame="http://xkb.cumt.edu.cn/845/_blank" w:tooltip="关于开展学位授权点合格评估工作的通知" w:history="1">
        <w:r w:rsidRPr="00542954">
          <w:rPr>
            <w:rFonts w:ascii="华文仿宋" w:eastAsia="华文仿宋" w:hAnsi="华文仿宋" w:cs="黑体" w:hint="eastAsia"/>
            <w:sz w:val="32"/>
            <w:szCs w:val="32"/>
          </w:rPr>
          <w:t>关于开展学位授权点合格评估工作的通知</w:t>
        </w:r>
      </w:hyperlink>
      <w:r w:rsidRPr="00542954">
        <w:rPr>
          <w:rFonts w:ascii="华文仿宋" w:eastAsia="华文仿宋" w:hAnsi="华文仿宋" w:cs="黑体" w:hint="eastAsia"/>
          <w:sz w:val="32"/>
          <w:szCs w:val="32"/>
        </w:rPr>
        <w:t>》（学位</w:t>
      </w:r>
      <w:r w:rsidR="004C6526">
        <w:rPr>
          <w:rFonts w:ascii="华文仿宋" w:eastAsia="华文仿宋" w:hAnsi="华文仿宋" w:cs="黑体" w:hint="eastAsia"/>
          <w:sz w:val="32"/>
          <w:szCs w:val="32"/>
        </w:rPr>
        <w:t>[</w:t>
      </w:r>
      <w:r w:rsidRPr="00542954">
        <w:rPr>
          <w:rFonts w:ascii="华文仿宋" w:eastAsia="华文仿宋" w:hAnsi="华文仿宋" w:cs="黑体"/>
          <w:sz w:val="32"/>
          <w:szCs w:val="32"/>
        </w:rPr>
        <w:t>2014]</w:t>
      </w:r>
      <w:r w:rsidR="00FE78BD">
        <w:rPr>
          <w:rFonts w:ascii="华文仿宋" w:eastAsia="华文仿宋" w:hAnsi="华文仿宋" w:cs="黑体" w:hint="eastAsia"/>
          <w:sz w:val="32"/>
          <w:szCs w:val="32"/>
        </w:rPr>
        <w:t xml:space="preserve"> </w:t>
      </w:r>
      <w:r w:rsidRPr="00542954">
        <w:rPr>
          <w:rFonts w:ascii="华文仿宋" w:eastAsia="华文仿宋" w:hAnsi="华文仿宋" w:cs="黑体"/>
          <w:sz w:val="32"/>
          <w:szCs w:val="32"/>
        </w:rPr>
        <w:t>16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号）</w:t>
      </w:r>
      <w:r w:rsidR="00B25690">
        <w:rPr>
          <w:rFonts w:ascii="华文仿宋" w:eastAsia="华文仿宋" w:hAnsi="华文仿宋" w:cs="黑体" w:hint="eastAsia"/>
          <w:sz w:val="32"/>
          <w:szCs w:val="32"/>
        </w:rPr>
        <w:t>和</w:t>
      </w:r>
      <w:r w:rsidR="00B25690" w:rsidRPr="00B25690">
        <w:rPr>
          <w:rFonts w:ascii="华文仿宋" w:eastAsia="华文仿宋" w:hAnsi="华文仿宋" w:cs="黑体" w:hint="eastAsia"/>
          <w:sz w:val="32"/>
          <w:szCs w:val="32"/>
        </w:rPr>
        <w:t>《关于开展2014年学位授权点专项评估工作的通知》（学位</w:t>
      </w:r>
      <w:r w:rsidR="004C6526">
        <w:rPr>
          <w:rFonts w:ascii="华文仿宋" w:eastAsia="华文仿宋" w:hAnsi="华文仿宋" w:cs="黑体" w:hint="eastAsia"/>
          <w:sz w:val="32"/>
          <w:szCs w:val="32"/>
        </w:rPr>
        <w:t>[</w:t>
      </w:r>
      <w:r w:rsidR="00B25690" w:rsidRPr="00B25690">
        <w:rPr>
          <w:rFonts w:ascii="华文仿宋" w:eastAsia="华文仿宋" w:hAnsi="华文仿宋" w:cs="黑体" w:hint="eastAsia"/>
          <w:sz w:val="32"/>
          <w:szCs w:val="32"/>
        </w:rPr>
        <w:t>2014</w:t>
      </w:r>
      <w:r w:rsidR="004C6526">
        <w:rPr>
          <w:rFonts w:ascii="华文仿宋" w:eastAsia="华文仿宋" w:hAnsi="华文仿宋" w:cs="黑体" w:hint="eastAsia"/>
          <w:sz w:val="32"/>
          <w:szCs w:val="32"/>
        </w:rPr>
        <w:t xml:space="preserve">] </w:t>
      </w:r>
      <w:r w:rsidR="00B25690" w:rsidRPr="00B25690">
        <w:rPr>
          <w:rFonts w:ascii="华文仿宋" w:eastAsia="华文仿宋" w:hAnsi="华文仿宋" w:cs="黑体" w:hint="eastAsia"/>
          <w:sz w:val="32"/>
          <w:szCs w:val="32"/>
        </w:rPr>
        <w:t>17号）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的</w:t>
      </w:r>
      <w:r w:rsidR="00B25690">
        <w:rPr>
          <w:rFonts w:ascii="华文仿宋" w:eastAsia="华文仿宋" w:hAnsi="华文仿宋" w:cs="黑体" w:hint="eastAsia"/>
          <w:sz w:val="32"/>
          <w:szCs w:val="32"/>
        </w:rPr>
        <w:t>精神和要求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，为做好我校学位授权点</w:t>
      </w:r>
      <w:r w:rsidR="0069510E">
        <w:rPr>
          <w:rFonts w:ascii="华文仿宋" w:eastAsia="华文仿宋" w:hAnsi="华文仿宋" w:cs="黑体" w:hint="eastAsia"/>
          <w:sz w:val="32"/>
          <w:szCs w:val="32"/>
        </w:rPr>
        <w:t>合格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评估工作，特制定本方案。</w:t>
      </w:r>
    </w:p>
    <w:p w:rsidR="007B6A08" w:rsidRPr="009221E7" w:rsidRDefault="007B6A08" w:rsidP="00542954">
      <w:pPr>
        <w:widowControl/>
        <w:numPr>
          <w:ilvl w:val="0"/>
          <w:numId w:val="12"/>
        </w:numPr>
        <w:spacing w:line="15" w:lineRule="atLeast"/>
        <w:ind w:firstLineChars="200" w:firstLine="641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t>组织机构</w:t>
      </w:r>
    </w:p>
    <w:p w:rsidR="009221E7" w:rsidRPr="009221E7" w:rsidRDefault="009221E7" w:rsidP="009221E7">
      <w:pPr>
        <w:widowControl/>
        <w:spacing w:line="15" w:lineRule="atLeast"/>
        <w:ind w:firstLineChars="150" w:firstLine="480"/>
        <w:rPr>
          <w:rFonts w:ascii="华文仿宋" w:eastAsia="华文仿宋" w:hAnsi="华文仿宋" w:cs="Times New Roman"/>
          <w:b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成立校评估工作领导小组，下设校评估工作办公室、</w:t>
      </w:r>
      <w:r w:rsidR="00B37403">
        <w:rPr>
          <w:rFonts w:ascii="华文仿宋" w:eastAsia="华文仿宋" w:hAnsi="华文仿宋" w:cs="黑体" w:hint="eastAsia"/>
          <w:sz w:val="32"/>
          <w:szCs w:val="32"/>
        </w:rPr>
        <w:t>校</w:t>
      </w:r>
      <w:r>
        <w:rPr>
          <w:rFonts w:ascii="华文仿宋" w:eastAsia="华文仿宋" w:hAnsi="华文仿宋" w:cs="黑体" w:hint="eastAsia"/>
          <w:sz w:val="32"/>
          <w:szCs w:val="32"/>
        </w:rPr>
        <w:t>专家督导组、院评估工作小组</w:t>
      </w:r>
      <w:r w:rsidR="007F34D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7B6A08" w:rsidRPr="00542954" w:rsidRDefault="007B6A08" w:rsidP="00542954">
      <w:pPr>
        <w:widowControl/>
        <w:numPr>
          <w:ilvl w:val="0"/>
          <w:numId w:val="2"/>
        </w:numPr>
        <w:spacing w:line="15" w:lineRule="atLeast"/>
        <w:ind w:firstLineChars="200" w:firstLine="641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t>校评估工作领导小组</w:t>
      </w:r>
    </w:p>
    <w:p w:rsidR="009221E7" w:rsidRDefault="007B6A08" w:rsidP="002D0DF5">
      <w:pPr>
        <w:widowControl/>
        <w:spacing w:line="15" w:lineRule="atLeast"/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由校长任组长，学科、研究生工作</w:t>
      </w:r>
      <w:r w:rsidR="000E0BA4" w:rsidRPr="00542954">
        <w:rPr>
          <w:rFonts w:ascii="华文仿宋" w:eastAsia="华文仿宋" w:hAnsi="华文仿宋" w:cs="黑体" w:hint="eastAsia"/>
          <w:sz w:val="32"/>
          <w:szCs w:val="32"/>
        </w:rPr>
        <w:t>分管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副校长为成员。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主要负责</w:t>
      </w:r>
      <w:r w:rsidR="002D0DF5" w:rsidRPr="00542954">
        <w:rPr>
          <w:rFonts w:ascii="华文仿宋" w:eastAsia="华文仿宋" w:hAnsi="华文仿宋" w:cs="黑体" w:hint="eastAsia"/>
          <w:sz w:val="32"/>
          <w:szCs w:val="32"/>
        </w:rPr>
        <w:t>确定评估指导思想、工作目标，审核评估方案</w:t>
      </w:r>
      <w:r w:rsidR="003A6D87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9221E7" w:rsidRPr="00542954">
        <w:rPr>
          <w:rFonts w:ascii="华文仿宋" w:eastAsia="华文仿宋" w:hAnsi="华文仿宋" w:cs="黑体" w:hint="eastAsia"/>
          <w:sz w:val="32"/>
          <w:szCs w:val="32"/>
        </w:rPr>
        <w:t>协调评估中的重大事宜。</w:t>
      </w:r>
    </w:p>
    <w:p w:rsidR="007E2368" w:rsidRPr="007E2368" w:rsidRDefault="007B6A08" w:rsidP="007E2368">
      <w:pPr>
        <w:widowControl/>
        <w:numPr>
          <w:ilvl w:val="0"/>
          <w:numId w:val="2"/>
        </w:numPr>
        <w:spacing w:line="15" w:lineRule="atLeast"/>
        <w:ind w:firstLineChars="200" w:firstLine="641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7E2368">
        <w:rPr>
          <w:rFonts w:ascii="华文仿宋" w:eastAsia="华文仿宋" w:hAnsi="华文仿宋" w:cs="黑体" w:hint="eastAsia"/>
          <w:b/>
          <w:bCs/>
          <w:sz w:val="32"/>
          <w:szCs w:val="32"/>
        </w:rPr>
        <w:t>校评估工作办公室</w:t>
      </w:r>
    </w:p>
    <w:p w:rsidR="009221E7" w:rsidRPr="009221E7" w:rsidRDefault="007E2368" w:rsidP="002D0DF5">
      <w:pPr>
        <w:ind w:firstLineChars="150" w:firstLine="480"/>
        <w:rPr>
          <w:rFonts w:ascii="华文仿宋" w:eastAsia="华文仿宋" w:hAnsi="华文仿宋" w:cs="Times New Roman"/>
          <w:sz w:val="32"/>
          <w:szCs w:val="32"/>
        </w:rPr>
      </w:pPr>
      <w:r w:rsidRPr="007E2368">
        <w:rPr>
          <w:rFonts w:ascii="华文仿宋" w:eastAsia="华文仿宋" w:hAnsi="华文仿宋" w:cs="黑体" w:hint="eastAsia"/>
          <w:bCs/>
          <w:sz w:val="32"/>
          <w:szCs w:val="32"/>
        </w:rPr>
        <w:t>成</w:t>
      </w:r>
      <w:r w:rsidRPr="007E2368">
        <w:rPr>
          <w:rFonts w:ascii="华文仿宋" w:eastAsia="华文仿宋" w:hAnsi="华文仿宋" w:cs="黑体" w:hint="eastAsia"/>
          <w:sz w:val="32"/>
          <w:szCs w:val="32"/>
        </w:rPr>
        <w:t>立校评估工作办公室，挂靠学科建设处，学科建设处、</w:t>
      </w:r>
      <w:r w:rsidR="007B6A08" w:rsidRPr="007E2368">
        <w:rPr>
          <w:rFonts w:ascii="华文仿宋" w:eastAsia="华文仿宋" w:hAnsi="华文仿宋" w:cs="黑体" w:hint="eastAsia"/>
          <w:sz w:val="32"/>
          <w:szCs w:val="32"/>
        </w:rPr>
        <w:t>研究生院等职能部门为办公室组成单位。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主要负责制定</w:t>
      </w:r>
      <w:r w:rsidR="009221E7" w:rsidRPr="00542954">
        <w:rPr>
          <w:rFonts w:ascii="华文仿宋" w:eastAsia="华文仿宋" w:hAnsi="华文仿宋" w:cs="黑体" w:hint="eastAsia"/>
          <w:sz w:val="32"/>
          <w:szCs w:val="32"/>
        </w:rPr>
        <w:t>评估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实施</w:t>
      </w:r>
      <w:r w:rsidR="009221E7" w:rsidRPr="00542954">
        <w:rPr>
          <w:rFonts w:ascii="华文仿宋" w:eastAsia="华文仿宋" w:hAnsi="华文仿宋" w:cs="黑体" w:hint="eastAsia"/>
          <w:sz w:val="32"/>
          <w:szCs w:val="32"/>
        </w:rPr>
        <w:t>方案，</w:t>
      </w:r>
      <w:r w:rsidR="003A6D87" w:rsidRPr="00542954">
        <w:rPr>
          <w:rFonts w:ascii="华文仿宋" w:eastAsia="华文仿宋" w:hAnsi="华文仿宋" w:cs="黑体" w:hint="eastAsia"/>
          <w:sz w:val="32"/>
          <w:szCs w:val="32"/>
        </w:rPr>
        <w:t>协调组织</w:t>
      </w:r>
      <w:r w:rsidR="009221E7" w:rsidRPr="00542954">
        <w:rPr>
          <w:rFonts w:ascii="华文仿宋" w:eastAsia="华文仿宋" w:hAnsi="华文仿宋" w:cs="黑体" w:hint="eastAsia"/>
          <w:sz w:val="32"/>
          <w:szCs w:val="32"/>
        </w:rPr>
        <w:t>评估日常工作。</w:t>
      </w:r>
    </w:p>
    <w:p w:rsidR="007B6A08" w:rsidRPr="00542954" w:rsidRDefault="007B6A08" w:rsidP="00542954">
      <w:pPr>
        <w:numPr>
          <w:ilvl w:val="0"/>
          <w:numId w:val="2"/>
        </w:numPr>
        <w:spacing w:line="580" w:lineRule="exact"/>
        <w:ind w:firstLineChars="200" w:firstLine="641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t>校专家督导组</w:t>
      </w:r>
    </w:p>
    <w:p w:rsidR="009221E7" w:rsidRDefault="00593176" w:rsidP="009221E7">
      <w:pPr>
        <w:spacing w:line="580" w:lineRule="exact"/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校专家督导组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由部分校学术委员会委员组成</w:t>
      </w:r>
      <w:r>
        <w:rPr>
          <w:rFonts w:ascii="华文仿宋" w:eastAsia="华文仿宋" w:hAnsi="华文仿宋" w:cs="黑体" w:hint="eastAsia"/>
          <w:sz w:val="32"/>
          <w:szCs w:val="32"/>
        </w:rPr>
        <w:t>，</w:t>
      </w:r>
      <w:r w:rsidR="009221E7" w:rsidRPr="00542954">
        <w:rPr>
          <w:rFonts w:ascii="华文仿宋" w:eastAsia="华文仿宋" w:hAnsi="华文仿宋" w:cs="黑体" w:hint="eastAsia"/>
          <w:sz w:val="32"/>
          <w:szCs w:val="32"/>
        </w:rPr>
        <w:t>协助校评估工作办公室对各学院学位授权点自评工作进行监督与指</w:t>
      </w:r>
      <w:r w:rsidR="009221E7" w:rsidRPr="00542954">
        <w:rPr>
          <w:rFonts w:ascii="华文仿宋" w:eastAsia="华文仿宋" w:hAnsi="华文仿宋" w:cs="黑体" w:hint="eastAsia"/>
          <w:sz w:val="32"/>
          <w:szCs w:val="32"/>
        </w:rPr>
        <w:lastRenderedPageBreak/>
        <w:t>导。</w:t>
      </w:r>
    </w:p>
    <w:p w:rsidR="007B6A08" w:rsidRPr="00542954" w:rsidRDefault="007B6A08" w:rsidP="00542954">
      <w:pPr>
        <w:numPr>
          <w:ilvl w:val="0"/>
          <w:numId w:val="2"/>
        </w:numPr>
        <w:spacing w:line="580" w:lineRule="exact"/>
        <w:ind w:firstLineChars="200" w:firstLine="641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t>院评估工作小组</w:t>
      </w:r>
    </w:p>
    <w:p w:rsidR="007B6A08" w:rsidRPr="00542954" w:rsidRDefault="007B6A08" w:rsidP="002D0DF5">
      <w:pPr>
        <w:spacing w:line="58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院评估工作小组由各学院院长任组长，分管研究生工作的副院长、学科方向负责人、学术骨干等为成员。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主要负责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汇总本学院学位授权点基本数据和支撑佐证材料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，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提出本学院学位授权点调整建议和改进提升方案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，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实施本学院学位授权点改进提升工作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，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主持撰写《学位授权点自我评估报告》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，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做好专家组进校考查相关准备工作。</w:t>
      </w:r>
    </w:p>
    <w:p w:rsidR="00E56659" w:rsidRPr="00542954" w:rsidRDefault="00E56659" w:rsidP="00542954">
      <w:pPr>
        <w:widowControl/>
        <w:numPr>
          <w:ilvl w:val="0"/>
          <w:numId w:val="12"/>
        </w:numPr>
        <w:spacing w:line="15" w:lineRule="atLeast"/>
        <w:ind w:firstLineChars="200" w:firstLine="641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t>参评学科</w:t>
      </w:r>
    </w:p>
    <w:p w:rsidR="009752DF" w:rsidRDefault="00150D93" w:rsidP="00E56659">
      <w:pPr>
        <w:ind w:firstLineChars="200" w:firstLine="640"/>
        <w:rPr>
          <w:rFonts w:ascii="华文仿宋" w:eastAsia="华文仿宋" w:hAnsi="华文仿宋" w:cs="黑体"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bCs/>
          <w:sz w:val="32"/>
          <w:szCs w:val="32"/>
        </w:rPr>
        <w:t xml:space="preserve">1.  </w:t>
      </w:r>
      <w:r w:rsidR="00911F93">
        <w:rPr>
          <w:rFonts w:ascii="华文仿宋" w:eastAsia="华文仿宋" w:hAnsi="华文仿宋" w:cs="黑体" w:hint="eastAsia"/>
          <w:bCs/>
          <w:sz w:val="32"/>
          <w:szCs w:val="32"/>
        </w:rPr>
        <w:t>1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5</w:t>
      </w:r>
      <w:r w:rsidR="00911F93">
        <w:rPr>
          <w:rFonts w:ascii="华文仿宋" w:eastAsia="华文仿宋" w:hAnsi="华文仿宋" w:cs="黑体" w:hint="eastAsia"/>
          <w:bCs/>
          <w:sz w:val="32"/>
          <w:szCs w:val="32"/>
        </w:rPr>
        <w:t>个一级学科博士点、</w:t>
      </w:r>
      <w:r w:rsidR="00597759">
        <w:rPr>
          <w:rFonts w:ascii="华文仿宋" w:eastAsia="华文仿宋" w:hAnsi="华文仿宋" w:cs="黑体" w:hint="eastAsia"/>
          <w:bCs/>
          <w:sz w:val="32"/>
          <w:szCs w:val="32"/>
        </w:rPr>
        <w:t>3个二级学科博士点、</w:t>
      </w:r>
      <w:r w:rsidR="00911F93">
        <w:rPr>
          <w:rFonts w:ascii="华文仿宋" w:eastAsia="华文仿宋" w:hAnsi="华文仿宋" w:cs="黑体" w:hint="eastAsia"/>
          <w:bCs/>
          <w:sz w:val="32"/>
          <w:szCs w:val="32"/>
        </w:rPr>
        <w:t>9个二级学科硕士点</w:t>
      </w:r>
      <w:r w:rsidR="00597759">
        <w:rPr>
          <w:rFonts w:ascii="华文仿宋" w:eastAsia="华文仿宋" w:hAnsi="华文仿宋" w:cs="黑体" w:hint="eastAsia"/>
          <w:bCs/>
          <w:sz w:val="32"/>
          <w:szCs w:val="32"/>
        </w:rPr>
        <w:t>、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3</w:t>
      </w:r>
      <w:r w:rsidR="00911F93">
        <w:rPr>
          <w:rFonts w:ascii="华文仿宋" w:eastAsia="华文仿宋" w:hAnsi="华文仿宋" w:cs="黑体" w:hint="eastAsia"/>
          <w:bCs/>
          <w:sz w:val="32"/>
          <w:szCs w:val="32"/>
        </w:rPr>
        <w:t>个专业学位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授权点</w:t>
      </w:r>
      <w:r w:rsidR="008D34B4" w:rsidRPr="00542954">
        <w:rPr>
          <w:rFonts w:ascii="华文仿宋" w:eastAsia="华文仿宋" w:hAnsi="华文仿宋" w:cs="黑体" w:hint="eastAsia"/>
          <w:bCs/>
          <w:sz w:val="32"/>
          <w:szCs w:val="32"/>
        </w:rPr>
        <w:t>参加</w:t>
      </w:r>
      <w:r>
        <w:rPr>
          <w:rFonts w:ascii="华文仿宋" w:eastAsia="华文仿宋" w:hAnsi="华文仿宋" w:cs="黑体" w:hint="eastAsia"/>
          <w:bCs/>
          <w:sz w:val="32"/>
          <w:szCs w:val="32"/>
        </w:rPr>
        <w:t>学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校组织的自我</w:t>
      </w:r>
      <w:r w:rsidR="008D34B4" w:rsidRPr="00542954">
        <w:rPr>
          <w:rFonts w:ascii="华文仿宋" w:eastAsia="华文仿宋" w:hAnsi="华文仿宋" w:cs="黑体" w:hint="eastAsia"/>
          <w:bCs/>
          <w:sz w:val="32"/>
          <w:szCs w:val="32"/>
        </w:rPr>
        <w:t>评估</w:t>
      </w:r>
      <w:r w:rsidR="00911F93">
        <w:rPr>
          <w:rFonts w:ascii="华文仿宋" w:eastAsia="华文仿宋" w:hAnsi="华文仿宋" w:cs="黑体" w:hint="eastAsia"/>
          <w:bCs/>
          <w:sz w:val="32"/>
          <w:szCs w:val="32"/>
        </w:rPr>
        <w:t>，具体名单见附表1</w:t>
      </w:r>
      <w:r w:rsidR="008D34B4" w:rsidRPr="00542954">
        <w:rPr>
          <w:rFonts w:ascii="华文仿宋" w:eastAsia="华文仿宋" w:hAnsi="华文仿宋" w:cs="黑体" w:hint="eastAsia"/>
          <w:bCs/>
          <w:sz w:val="32"/>
          <w:szCs w:val="32"/>
        </w:rPr>
        <w:t>。</w:t>
      </w:r>
    </w:p>
    <w:p w:rsidR="009752DF" w:rsidRDefault="00150D93" w:rsidP="00E56659">
      <w:pPr>
        <w:ind w:firstLineChars="200" w:firstLine="640"/>
        <w:rPr>
          <w:rFonts w:ascii="华文仿宋" w:eastAsia="华文仿宋" w:hAnsi="华文仿宋" w:cs="黑体"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bCs/>
          <w:sz w:val="32"/>
          <w:szCs w:val="32"/>
        </w:rPr>
        <w:t>2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.  1个一级学科博士</w:t>
      </w:r>
      <w:r w:rsidR="00957CCE">
        <w:rPr>
          <w:rFonts w:ascii="华文仿宋" w:eastAsia="华文仿宋" w:hAnsi="华文仿宋" w:cs="黑体" w:hint="eastAsia"/>
          <w:bCs/>
          <w:sz w:val="32"/>
          <w:szCs w:val="32"/>
        </w:rPr>
        <w:t>学位授权点</w:t>
      </w:r>
      <w:r w:rsidR="007F34D5">
        <w:rPr>
          <w:rFonts w:ascii="华文仿宋" w:eastAsia="华文仿宋" w:hAnsi="华文仿宋" w:cs="黑体" w:hint="eastAsia"/>
          <w:bCs/>
          <w:sz w:val="32"/>
          <w:szCs w:val="32"/>
        </w:rPr>
        <w:t>，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1个一级学科硕士</w:t>
      </w:r>
      <w:r w:rsidR="00957CCE">
        <w:rPr>
          <w:rFonts w:ascii="华文仿宋" w:eastAsia="华文仿宋" w:hAnsi="华文仿宋" w:cs="黑体" w:hint="eastAsia"/>
          <w:bCs/>
          <w:sz w:val="32"/>
          <w:szCs w:val="32"/>
        </w:rPr>
        <w:t>学位授权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点</w:t>
      </w:r>
      <w:r w:rsidR="008747EF">
        <w:rPr>
          <w:rFonts w:ascii="华文仿宋" w:eastAsia="华文仿宋" w:hAnsi="华文仿宋" w:cs="黑体" w:hint="eastAsia"/>
          <w:bCs/>
          <w:sz w:val="32"/>
          <w:szCs w:val="32"/>
        </w:rPr>
        <w:t>和6个专业学位授权点</w:t>
      </w:r>
      <w:r>
        <w:rPr>
          <w:rFonts w:ascii="华文仿宋" w:eastAsia="华文仿宋" w:hAnsi="华文仿宋" w:cs="黑体" w:hint="eastAsia"/>
          <w:bCs/>
          <w:sz w:val="32"/>
          <w:szCs w:val="32"/>
        </w:rPr>
        <w:t>分别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参加由国务院学位委员会</w:t>
      </w:r>
      <w:r w:rsidR="002E6109">
        <w:rPr>
          <w:rFonts w:ascii="华文仿宋" w:eastAsia="华文仿宋" w:hAnsi="华文仿宋" w:cs="黑体" w:hint="eastAsia"/>
          <w:bCs/>
          <w:sz w:val="32"/>
          <w:szCs w:val="32"/>
        </w:rPr>
        <w:t>办公室委托国务院学位委员会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学科评议组和全国专业学位研究生教育指导委员会组织</w:t>
      </w:r>
      <w:r w:rsidR="004175E3">
        <w:rPr>
          <w:rFonts w:ascii="华文仿宋" w:eastAsia="华文仿宋" w:hAnsi="华文仿宋" w:cs="黑体" w:hint="eastAsia"/>
          <w:bCs/>
          <w:sz w:val="32"/>
          <w:szCs w:val="32"/>
        </w:rPr>
        <w:t>实施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的</w:t>
      </w:r>
      <w:r w:rsidR="006243BD">
        <w:rPr>
          <w:rFonts w:ascii="华文仿宋" w:eastAsia="华文仿宋" w:hAnsi="华文仿宋" w:cs="黑体" w:hint="eastAsia"/>
          <w:bCs/>
          <w:sz w:val="32"/>
          <w:szCs w:val="32"/>
        </w:rPr>
        <w:t>专项评估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，具体名单见附表</w:t>
      </w:r>
      <w:r w:rsidR="003A6D87">
        <w:rPr>
          <w:rFonts w:ascii="华文仿宋" w:eastAsia="华文仿宋" w:hAnsi="华文仿宋" w:cs="黑体" w:hint="eastAsia"/>
          <w:bCs/>
          <w:sz w:val="32"/>
          <w:szCs w:val="32"/>
        </w:rPr>
        <w:t>2。</w:t>
      </w:r>
    </w:p>
    <w:p w:rsidR="008D34B4" w:rsidRDefault="00150D93" w:rsidP="00E56659">
      <w:pPr>
        <w:ind w:firstLineChars="200" w:firstLine="640"/>
        <w:rPr>
          <w:rFonts w:ascii="华文仿宋" w:eastAsia="华文仿宋" w:hAnsi="华文仿宋" w:cs="黑体"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bCs/>
          <w:sz w:val="32"/>
          <w:szCs w:val="32"/>
        </w:rPr>
        <w:t>3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.  1</w:t>
      </w:r>
      <w:r w:rsidR="00597759">
        <w:rPr>
          <w:rFonts w:ascii="华文仿宋" w:eastAsia="华文仿宋" w:hAnsi="华文仿宋" w:cs="黑体" w:hint="eastAsia"/>
          <w:bCs/>
          <w:sz w:val="32"/>
          <w:szCs w:val="32"/>
        </w:rPr>
        <w:t>8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个</w:t>
      </w:r>
      <w:r w:rsidR="007F34D5">
        <w:rPr>
          <w:rFonts w:ascii="华文仿宋" w:eastAsia="华文仿宋" w:hAnsi="华文仿宋" w:cs="黑体" w:hint="eastAsia"/>
          <w:bCs/>
          <w:sz w:val="32"/>
          <w:szCs w:val="32"/>
        </w:rPr>
        <w:t>一级学科硕士学位授权点参加江苏省组织的合格评估，</w:t>
      </w:r>
      <w:r w:rsidR="009752DF">
        <w:rPr>
          <w:rFonts w:ascii="华文仿宋" w:eastAsia="华文仿宋" w:hAnsi="华文仿宋" w:cs="黑体" w:hint="eastAsia"/>
          <w:bCs/>
          <w:sz w:val="32"/>
          <w:szCs w:val="32"/>
        </w:rPr>
        <w:t>具体名单见附表3</w:t>
      </w:r>
      <w:r w:rsidR="007F34D5">
        <w:rPr>
          <w:rFonts w:ascii="华文仿宋" w:eastAsia="华文仿宋" w:hAnsi="华文仿宋" w:cs="黑体" w:hint="eastAsia"/>
          <w:bCs/>
          <w:sz w:val="32"/>
          <w:szCs w:val="32"/>
        </w:rPr>
        <w:t>。</w:t>
      </w:r>
    </w:p>
    <w:p w:rsidR="00150D93" w:rsidRDefault="00150D93" w:rsidP="00E56659">
      <w:pPr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硕士为一级学科授权而博士为二级学科授权的学位点</w:t>
      </w:r>
      <w:r w:rsidR="006122F5">
        <w:rPr>
          <w:rFonts w:ascii="华文仿宋" w:eastAsia="华文仿宋" w:hAnsi="华文仿宋" w:cs="黑体" w:hint="eastAsia"/>
          <w:sz w:val="32"/>
          <w:szCs w:val="32"/>
        </w:rPr>
        <w:t>，按一级学科硕士学位授权点</w:t>
      </w:r>
      <w:r w:rsidR="00DB5E57">
        <w:rPr>
          <w:rFonts w:ascii="华文仿宋" w:eastAsia="华文仿宋" w:hAnsi="华文仿宋" w:cs="黑体" w:hint="eastAsia"/>
          <w:sz w:val="32"/>
          <w:szCs w:val="32"/>
        </w:rPr>
        <w:t>和二级学科博士学位授权点分别</w:t>
      </w:r>
      <w:r w:rsidR="006122F5">
        <w:rPr>
          <w:rFonts w:ascii="华文仿宋" w:eastAsia="华文仿宋" w:hAnsi="华文仿宋" w:cs="黑体" w:hint="eastAsia"/>
          <w:sz w:val="32"/>
          <w:szCs w:val="32"/>
        </w:rPr>
        <w:t>开展评估</w:t>
      </w:r>
      <w:r w:rsidR="003349C1">
        <w:rPr>
          <w:rFonts w:ascii="华文仿宋" w:eastAsia="华文仿宋" w:hAnsi="华文仿宋" w:cs="黑体" w:hint="eastAsia"/>
          <w:sz w:val="32"/>
          <w:szCs w:val="32"/>
        </w:rPr>
        <w:t>；仅获得二级学科</w:t>
      </w:r>
      <w:r w:rsidR="001736E2">
        <w:rPr>
          <w:rFonts w:ascii="华文仿宋" w:eastAsia="华文仿宋" w:hAnsi="华文仿宋" w:cs="黑体" w:hint="eastAsia"/>
          <w:sz w:val="32"/>
          <w:szCs w:val="32"/>
        </w:rPr>
        <w:t>博士</w:t>
      </w:r>
      <w:r w:rsidR="006122F5">
        <w:rPr>
          <w:rFonts w:ascii="华文仿宋" w:eastAsia="华文仿宋" w:hAnsi="华文仿宋" w:cs="黑体" w:hint="eastAsia"/>
          <w:sz w:val="32"/>
          <w:szCs w:val="32"/>
        </w:rPr>
        <w:t>（硕士）学位</w:t>
      </w:r>
      <w:r w:rsidR="003349C1">
        <w:rPr>
          <w:rFonts w:ascii="华文仿宋" w:eastAsia="华文仿宋" w:hAnsi="华文仿宋" w:cs="黑体" w:hint="eastAsia"/>
          <w:sz w:val="32"/>
          <w:szCs w:val="32"/>
        </w:rPr>
        <w:t>授权</w:t>
      </w:r>
      <w:r w:rsidR="006122F5">
        <w:rPr>
          <w:rFonts w:ascii="华文仿宋" w:eastAsia="华文仿宋" w:hAnsi="华文仿宋" w:cs="黑体" w:hint="eastAsia"/>
          <w:sz w:val="32"/>
          <w:szCs w:val="32"/>
        </w:rPr>
        <w:t>的学位点按照二级学科学位授权点开展评估。</w:t>
      </w:r>
    </w:p>
    <w:p w:rsidR="007B6A08" w:rsidRPr="00542954" w:rsidRDefault="007B6A08" w:rsidP="00542954">
      <w:pPr>
        <w:widowControl/>
        <w:numPr>
          <w:ilvl w:val="0"/>
          <w:numId w:val="12"/>
        </w:numPr>
        <w:spacing w:line="15" w:lineRule="atLeast"/>
        <w:ind w:firstLineChars="200" w:firstLine="641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lastRenderedPageBreak/>
        <w:t>评估方式</w:t>
      </w:r>
    </w:p>
    <w:p w:rsidR="00887807" w:rsidRDefault="00C926D8" w:rsidP="007B6A08">
      <w:pPr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评估</w:t>
      </w:r>
      <w:r w:rsidR="002D0DF5">
        <w:rPr>
          <w:rFonts w:ascii="华文仿宋" w:eastAsia="华文仿宋" w:hAnsi="华文仿宋" w:cs="黑体" w:hint="eastAsia"/>
          <w:sz w:val="32"/>
          <w:szCs w:val="32"/>
        </w:rPr>
        <w:t>主要</w:t>
      </w:r>
      <w:r>
        <w:rPr>
          <w:rFonts w:ascii="华文仿宋" w:eastAsia="华文仿宋" w:hAnsi="华文仿宋" w:cs="黑体" w:hint="eastAsia"/>
          <w:sz w:val="32"/>
          <w:szCs w:val="32"/>
        </w:rPr>
        <w:t>采用国内同行专家评估方式</w:t>
      </w:r>
      <w:r w:rsidR="00813C8F">
        <w:rPr>
          <w:rFonts w:ascii="华文仿宋" w:eastAsia="华文仿宋" w:hAnsi="华文仿宋" w:cs="黑体" w:hint="eastAsia"/>
          <w:sz w:val="32"/>
          <w:szCs w:val="32"/>
        </w:rPr>
        <w:t>。其</w:t>
      </w:r>
      <w:r>
        <w:rPr>
          <w:rFonts w:ascii="华文仿宋" w:eastAsia="华文仿宋" w:hAnsi="华文仿宋" w:cs="黑体" w:hint="eastAsia"/>
          <w:sz w:val="32"/>
          <w:szCs w:val="32"/>
        </w:rPr>
        <w:t>中</w:t>
      </w:r>
      <w:r w:rsidR="004C6526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813C8F">
        <w:rPr>
          <w:rFonts w:ascii="华文仿宋" w:eastAsia="华文仿宋" w:hAnsi="华文仿宋" w:cs="黑体" w:hint="eastAsia"/>
          <w:sz w:val="32"/>
          <w:szCs w:val="32"/>
        </w:rPr>
        <w:t>抽取部分国家重点学科进行</w:t>
      </w:r>
      <w:r w:rsidR="00887807">
        <w:rPr>
          <w:rFonts w:ascii="华文仿宋" w:eastAsia="华文仿宋" w:hAnsi="华文仿宋" w:cs="黑体" w:hint="eastAsia"/>
          <w:sz w:val="32"/>
          <w:szCs w:val="32"/>
        </w:rPr>
        <w:t>国际同行专家通讯评议</w:t>
      </w:r>
      <w:r w:rsidR="002E6B75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887807">
        <w:rPr>
          <w:rFonts w:ascii="华文仿宋" w:eastAsia="华文仿宋" w:hAnsi="华文仿宋" w:cs="黑体" w:hint="eastAsia"/>
          <w:sz w:val="32"/>
          <w:szCs w:val="32"/>
        </w:rPr>
        <w:t>试点国际评估</w:t>
      </w:r>
      <w:r w:rsidR="00887807" w:rsidRPr="00542954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150D93" w:rsidRDefault="00C926D8" w:rsidP="00176472">
      <w:pPr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评估包括通讯评议和现场考查两个阶段。</w:t>
      </w:r>
      <w:r>
        <w:rPr>
          <w:rFonts w:ascii="华文仿宋" w:eastAsia="华文仿宋" w:hAnsi="华文仿宋" w:cs="黑体" w:hint="eastAsia"/>
          <w:sz w:val="32"/>
          <w:szCs w:val="32"/>
        </w:rPr>
        <w:t>通讯评议是指</w:t>
      </w:r>
      <w:r w:rsidR="00DD295B">
        <w:rPr>
          <w:rFonts w:ascii="华文仿宋" w:eastAsia="华文仿宋" w:hAnsi="华文仿宋" w:cs="黑体" w:hint="eastAsia"/>
          <w:sz w:val="32"/>
          <w:szCs w:val="32"/>
        </w:rPr>
        <w:t>同行专家对学位点提交的材料进行审阅，</w:t>
      </w:r>
      <w:r w:rsidR="00DD295B" w:rsidRPr="00613319">
        <w:rPr>
          <w:rFonts w:ascii="华文仿宋" w:eastAsia="华文仿宋" w:hAnsi="华文仿宋" w:cs="黑体" w:hint="eastAsia"/>
          <w:sz w:val="32"/>
          <w:szCs w:val="32"/>
        </w:rPr>
        <w:t>重点审查学位授权</w:t>
      </w:r>
      <w:r w:rsidR="00613319" w:rsidRPr="00613319">
        <w:rPr>
          <w:rFonts w:ascii="华文仿宋" w:eastAsia="华文仿宋" w:hAnsi="华文仿宋" w:cs="黑体" w:hint="eastAsia"/>
          <w:sz w:val="32"/>
          <w:szCs w:val="32"/>
        </w:rPr>
        <w:t>点</w:t>
      </w:r>
      <w:r w:rsidR="004875A5">
        <w:rPr>
          <w:rFonts w:ascii="华文仿宋" w:eastAsia="华文仿宋" w:hAnsi="华文仿宋" w:cs="黑体" w:hint="eastAsia"/>
          <w:sz w:val="32"/>
          <w:szCs w:val="32"/>
        </w:rPr>
        <w:t>水平和研究生培养质量</w:t>
      </w:r>
      <w:r w:rsidR="00DD295B" w:rsidRPr="00613319">
        <w:rPr>
          <w:rFonts w:ascii="华文仿宋" w:eastAsia="华文仿宋" w:hAnsi="华文仿宋" w:cs="黑体" w:hint="eastAsia"/>
          <w:sz w:val="32"/>
          <w:szCs w:val="32"/>
        </w:rPr>
        <w:t>；</w:t>
      </w:r>
      <w:r w:rsidR="00DD295B">
        <w:rPr>
          <w:rFonts w:ascii="华文仿宋" w:eastAsia="华文仿宋" w:hAnsi="华文仿宋" w:cs="黑体" w:hint="eastAsia"/>
          <w:sz w:val="32"/>
          <w:szCs w:val="32"/>
        </w:rPr>
        <w:t>现场考查是专家组进校实地考查，核实自评报告的真实性和准确性，并了解自评报告中未能反映的问题。</w:t>
      </w:r>
    </w:p>
    <w:p w:rsidR="007B6A08" w:rsidRPr="00542954" w:rsidRDefault="007B6A08" w:rsidP="005151FB">
      <w:pPr>
        <w:widowControl/>
        <w:numPr>
          <w:ilvl w:val="0"/>
          <w:numId w:val="12"/>
        </w:numPr>
        <w:spacing w:line="15" w:lineRule="atLeast"/>
        <w:ind w:firstLineChars="200" w:firstLine="641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t>评估内容</w:t>
      </w:r>
    </w:p>
    <w:p w:rsidR="007B6A08" w:rsidRPr="00542954" w:rsidRDefault="00FD045F" w:rsidP="007B6A08">
      <w:pPr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评估内容</w:t>
      </w:r>
      <w:r w:rsidR="00AD6382">
        <w:rPr>
          <w:rFonts w:ascii="华文仿宋" w:eastAsia="华文仿宋" w:hAnsi="华文仿宋" w:cs="黑体" w:hint="eastAsia"/>
          <w:sz w:val="32"/>
          <w:szCs w:val="32"/>
        </w:rPr>
        <w:t>包括</w:t>
      </w:r>
      <w:r w:rsidR="00305858">
        <w:rPr>
          <w:rFonts w:ascii="华文仿宋" w:eastAsia="华文仿宋" w:hAnsi="华文仿宋" w:cs="黑体" w:hint="eastAsia"/>
          <w:sz w:val="32"/>
          <w:szCs w:val="32"/>
        </w:rPr>
        <w:t>培养目标、学位标准、培养方向、师资队伍、科学研究、教学科研支撑、奖助体系、招生选拔、课程教学、导师指导、学术训练（或实践教学）、学术交流、分流淘汰、论文质量、学风教育、管理服务、就业发展</w:t>
      </w:r>
      <w:r w:rsidR="007B6A08" w:rsidRPr="00542954">
        <w:rPr>
          <w:rFonts w:ascii="华文仿宋" w:eastAsia="华文仿宋" w:hAnsi="华文仿宋" w:cs="黑体" w:hint="eastAsia"/>
          <w:sz w:val="32"/>
          <w:szCs w:val="32"/>
        </w:rPr>
        <w:t>等</w:t>
      </w:r>
      <w:r w:rsidR="00305858">
        <w:rPr>
          <w:rFonts w:ascii="华文仿宋" w:eastAsia="华文仿宋" w:hAnsi="华文仿宋" w:cs="黑体" w:hint="eastAsia"/>
          <w:sz w:val="32"/>
          <w:szCs w:val="32"/>
        </w:rPr>
        <w:t>，重点考察学位授权点的</w:t>
      </w:r>
      <w:r w:rsidR="00813C8F">
        <w:rPr>
          <w:rFonts w:ascii="华文仿宋" w:eastAsia="华文仿宋" w:hAnsi="华文仿宋" w:cs="黑体" w:hint="eastAsia"/>
          <w:sz w:val="32"/>
          <w:szCs w:val="32"/>
        </w:rPr>
        <w:t>人才培养</w:t>
      </w:r>
      <w:r w:rsidR="00305858">
        <w:rPr>
          <w:rFonts w:ascii="华文仿宋" w:eastAsia="华文仿宋" w:hAnsi="华文仿宋" w:cs="黑体" w:hint="eastAsia"/>
          <w:sz w:val="32"/>
          <w:szCs w:val="32"/>
        </w:rPr>
        <w:t>目标达成度。</w:t>
      </w:r>
    </w:p>
    <w:p w:rsidR="007B6A08" w:rsidRPr="00542954" w:rsidRDefault="004247B8" w:rsidP="00542954">
      <w:pPr>
        <w:widowControl/>
        <w:numPr>
          <w:ilvl w:val="0"/>
          <w:numId w:val="12"/>
        </w:numPr>
        <w:spacing w:line="15" w:lineRule="atLeast"/>
        <w:ind w:firstLineChars="200" w:firstLine="641"/>
        <w:rPr>
          <w:rFonts w:ascii="华文仿宋" w:eastAsia="华文仿宋" w:hAnsi="华文仿宋" w:cs="Times New Roman"/>
          <w:b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b/>
          <w:bCs/>
          <w:sz w:val="32"/>
          <w:szCs w:val="32"/>
        </w:rPr>
        <w:t>评估结果</w:t>
      </w:r>
    </w:p>
    <w:p w:rsidR="008C5939" w:rsidRDefault="001C2327" w:rsidP="001C2327">
      <w:pPr>
        <w:ind w:firstLineChars="200" w:firstLine="640"/>
        <w:rPr>
          <w:rFonts w:ascii="华文仿宋" w:eastAsia="华文仿宋" w:hAnsi="华文仿宋" w:cs="黑体"/>
          <w:bCs/>
          <w:sz w:val="32"/>
          <w:szCs w:val="32"/>
        </w:rPr>
      </w:pPr>
      <w:r w:rsidRPr="001C2327">
        <w:rPr>
          <w:rFonts w:ascii="华文仿宋" w:eastAsia="华文仿宋" w:hAnsi="华文仿宋" w:cs="黑体" w:hint="eastAsia"/>
          <w:bCs/>
          <w:sz w:val="32"/>
          <w:szCs w:val="32"/>
        </w:rPr>
        <w:t>参加专项评估的学位授权点，以</w:t>
      </w:r>
      <w:r w:rsidR="001B4CE9">
        <w:rPr>
          <w:rFonts w:ascii="华文仿宋" w:eastAsia="华文仿宋" w:hAnsi="华文仿宋" w:cs="黑体" w:hint="eastAsia"/>
          <w:bCs/>
          <w:sz w:val="32"/>
          <w:szCs w:val="32"/>
        </w:rPr>
        <w:t>国务院学位委员会</w:t>
      </w:r>
      <w:r w:rsidRPr="001C2327">
        <w:rPr>
          <w:rFonts w:ascii="华文仿宋" w:eastAsia="华文仿宋" w:hAnsi="华文仿宋" w:cs="黑体" w:hint="eastAsia"/>
          <w:bCs/>
          <w:sz w:val="32"/>
          <w:szCs w:val="32"/>
        </w:rPr>
        <w:t>评估结果为准；参加江苏省学位委员会组织评估的学位授权点，以江苏省评估结果为准。不参加</w:t>
      </w:r>
      <w:r w:rsidR="00A82ED5">
        <w:rPr>
          <w:rFonts w:ascii="华文仿宋" w:eastAsia="华文仿宋" w:hAnsi="华文仿宋" w:cs="黑体" w:hint="eastAsia"/>
          <w:bCs/>
          <w:sz w:val="32"/>
          <w:szCs w:val="32"/>
        </w:rPr>
        <w:t>国家、省、校</w:t>
      </w:r>
      <w:r w:rsidR="007245D1">
        <w:rPr>
          <w:rFonts w:ascii="华文仿宋" w:eastAsia="华文仿宋" w:hAnsi="华文仿宋" w:cs="黑体" w:hint="eastAsia"/>
          <w:bCs/>
          <w:sz w:val="32"/>
          <w:szCs w:val="32"/>
        </w:rPr>
        <w:t>学位授权点</w:t>
      </w:r>
      <w:r w:rsidRPr="001C2327">
        <w:rPr>
          <w:rFonts w:ascii="华文仿宋" w:eastAsia="华文仿宋" w:hAnsi="华文仿宋" w:cs="黑体" w:hint="eastAsia"/>
          <w:bCs/>
          <w:sz w:val="32"/>
          <w:szCs w:val="32"/>
        </w:rPr>
        <w:t>评估的</w:t>
      </w:r>
      <w:r w:rsidR="007245D1">
        <w:rPr>
          <w:rFonts w:ascii="华文仿宋" w:eastAsia="华文仿宋" w:hAnsi="华文仿宋" w:cs="黑体" w:hint="eastAsia"/>
          <w:bCs/>
          <w:sz w:val="32"/>
          <w:szCs w:val="32"/>
        </w:rPr>
        <w:t>学位点</w:t>
      </w:r>
      <w:r w:rsidRPr="001C2327">
        <w:rPr>
          <w:rFonts w:ascii="华文仿宋" w:eastAsia="华文仿宋" w:hAnsi="华文仿宋" w:cs="黑体" w:hint="eastAsia"/>
          <w:bCs/>
          <w:sz w:val="32"/>
          <w:szCs w:val="32"/>
        </w:rPr>
        <w:t>视为自动放弃学位授权。</w:t>
      </w:r>
    </w:p>
    <w:p w:rsidR="001C2327" w:rsidRDefault="005151FB" w:rsidP="005151FB">
      <w:pPr>
        <w:ind w:firstLineChars="20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学校确定</w:t>
      </w:r>
      <w:r w:rsidR="008C5939" w:rsidRPr="003B0969">
        <w:rPr>
          <w:rFonts w:ascii="华文仿宋" w:eastAsia="华文仿宋" w:hAnsi="华文仿宋" w:cs="黑体" w:hint="eastAsia"/>
          <w:sz w:val="32"/>
          <w:szCs w:val="32"/>
        </w:rPr>
        <w:t>各学位授权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点</w:t>
      </w:r>
      <w:r>
        <w:rPr>
          <w:rFonts w:ascii="华文仿宋" w:eastAsia="华文仿宋" w:hAnsi="华文仿宋" w:cs="黑体" w:hint="eastAsia"/>
          <w:sz w:val="32"/>
          <w:szCs w:val="32"/>
        </w:rPr>
        <w:t>评估结果</w:t>
      </w:r>
      <w:r w:rsidR="00ED45B0">
        <w:rPr>
          <w:rFonts w:ascii="华文仿宋" w:eastAsia="华文仿宋" w:hAnsi="华文仿宋" w:cs="黑体" w:hint="eastAsia"/>
          <w:sz w:val="32"/>
          <w:szCs w:val="32"/>
        </w:rPr>
        <w:t>，</w:t>
      </w:r>
      <w:r>
        <w:rPr>
          <w:rFonts w:ascii="华文仿宋" w:eastAsia="华文仿宋" w:hAnsi="华文仿宋" w:cs="黑体" w:hint="eastAsia"/>
          <w:sz w:val="32"/>
          <w:szCs w:val="32"/>
        </w:rPr>
        <w:t>并根据学校综合改革方案，</w:t>
      </w:r>
      <w:r w:rsidR="00665A5C">
        <w:rPr>
          <w:rFonts w:ascii="华文仿宋" w:eastAsia="华文仿宋" w:hAnsi="华文仿宋" w:cs="黑体" w:hint="eastAsia"/>
          <w:sz w:val="32"/>
          <w:szCs w:val="32"/>
        </w:rPr>
        <w:t>对全校</w:t>
      </w:r>
      <w:r w:rsidR="00595ED5">
        <w:rPr>
          <w:rFonts w:ascii="华文仿宋" w:eastAsia="华文仿宋" w:hAnsi="华文仿宋" w:cs="黑体" w:hint="eastAsia"/>
          <w:sz w:val="32"/>
          <w:szCs w:val="32"/>
        </w:rPr>
        <w:t>学位授权点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进行</w:t>
      </w:r>
      <w:r w:rsidR="00ED45B0">
        <w:rPr>
          <w:rFonts w:ascii="华文仿宋" w:eastAsia="华文仿宋" w:hAnsi="华文仿宋" w:cs="黑体" w:hint="eastAsia"/>
          <w:sz w:val="32"/>
          <w:szCs w:val="32"/>
        </w:rPr>
        <w:t>动态调整</w:t>
      </w:r>
      <w:r w:rsidR="001B4CE9">
        <w:rPr>
          <w:rFonts w:ascii="华文仿宋" w:eastAsia="华文仿宋" w:hAnsi="华文仿宋" w:cs="黑体" w:hint="eastAsia"/>
          <w:sz w:val="32"/>
          <w:szCs w:val="32"/>
        </w:rPr>
        <w:t>和优化布局</w:t>
      </w:r>
      <w:r w:rsidR="00ED45B0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FF475A" w:rsidRPr="001C2327" w:rsidRDefault="00FF475A" w:rsidP="005151FB">
      <w:pPr>
        <w:ind w:firstLineChars="200" w:firstLine="640"/>
        <w:rPr>
          <w:rFonts w:ascii="华文仿宋" w:eastAsia="华文仿宋" w:hAnsi="华文仿宋" w:cs="黑体"/>
          <w:bCs/>
          <w:sz w:val="32"/>
          <w:szCs w:val="32"/>
        </w:rPr>
      </w:pPr>
    </w:p>
    <w:p w:rsidR="007B6A08" w:rsidRPr="00542954" w:rsidRDefault="007B6A08" w:rsidP="00542954">
      <w:pPr>
        <w:widowControl/>
        <w:numPr>
          <w:ilvl w:val="0"/>
          <w:numId w:val="12"/>
        </w:numPr>
        <w:spacing w:line="15" w:lineRule="atLeast"/>
        <w:ind w:firstLineChars="200" w:firstLine="641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b/>
          <w:bCs/>
          <w:sz w:val="32"/>
          <w:szCs w:val="32"/>
        </w:rPr>
        <w:lastRenderedPageBreak/>
        <w:t>时间安排和工作流程</w:t>
      </w:r>
    </w:p>
    <w:p w:rsidR="007B6A08" w:rsidRPr="00FB518D" w:rsidRDefault="003876FA" w:rsidP="007F34D5">
      <w:pPr>
        <w:pStyle w:val="a7"/>
        <w:numPr>
          <w:ilvl w:val="0"/>
          <w:numId w:val="14"/>
        </w:numPr>
        <w:ind w:firstLineChars="0"/>
        <w:jc w:val="left"/>
        <w:rPr>
          <w:rFonts w:ascii="华文仿宋" w:eastAsia="华文仿宋" w:hAnsi="华文仿宋" w:cs="黑体"/>
          <w:b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b/>
          <w:bCs/>
          <w:sz w:val="32"/>
          <w:szCs w:val="32"/>
        </w:rPr>
        <w:t xml:space="preserve"> </w:t>
      </w:r>
      <w:r w:rsidR="007B6A08" w:rsidRPr="007F34D5">
        <w:rPr>
          <w:rFonts w:ascii="华文仿宋" w:eastAsia="华文仿宋" w:hAnsi="华文仿宋" w:cs="黑体"/>
          <w:b/>
          <w:bCs/>
          <w:sz w:val="32"/>
          <w:szCs w:val="32"/>
        </w:rPr>
        <w:t>2014</w:t>
      </w:r>
      <w:r w:rsidR="007B6A08" w:rsidRPr="007F34D5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="007B6A08" w:rsidRPr="007F34D5">
        <w:rPr>
          <w:rFonts w:ascii="华文仿宋" w:eastAsia="华文仿宋" w:hAnsi="华文仿宋" w:cs="黑体"/>
          <w:b/>
          <w:bCs/>
          <w:sz w:val="32"/>
          <w:szCs w:val="32"/>
        </w:rPr>
        <w:t>12</w:t>
      </w:r>
      <w:r w:rsidR="007B6A08" w:rsidRPr="007F34D5">
        <w:rPr>
          <w:rFonts w:ascii="华文仿宋" w:eastAsia="华文仿宋" w:hAnsi="华文仿宋" w:cs="黑体" w:hint="eastAsia"/>
          <w:b/>
          <w:bCs/>
          <w:sz w:val="32"/>
          <w:szCs w:val="32"/>
        </w:rPr>
        <w:t>月至</w:t>
      </w:r>
      <w:r w:rsidR="007B6A08" w:rsidRPr="007F34D5">
        <w:rPr>
          <w:rFonts w:ascii="华文仿宋" w:eastAsia="华文仿宋" w:hAnsi="华文仿宋" w:cs="黑体"/>
          <w:b/>
          <w:bCs/>
          <w:sz w:val="32"/>
          <w:szCs w:val="32"/>
        </w:rPr>
        <w:t>2015</w:t>
      </w:r>
      <w:r w:rsidR="007B6A08" w:rsidRPr="007F34D5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="007B6A08" w:rsidRPr="007F34D5">
        <w:rPr>
          <w:rFonts w:ascii="华文仿宋" w:eastAsia="华文仿宋" w:hAnsi="华文仿宋" w:cs="黑体"/>
          <w:b/>
          <w:bCs/>
          <w:sz w:val="32"/>
          <w:szCs w:val="32"/>
        </w:rPr>
        <w:t>6</w:t>
      </w:r>
      <w:r w:rsidR="007B6A08" w:rsidRPr="007F34D5">
        <w:rPr>
          <w:rFonts w:ascii="华文仿宋" w:eastAsia="华文仿宋" w:hAnsi="华文仿宋" w:cs="黑体" w:hint="eastAsia"/>
          <w:b/>
          <w:bCs/>
          <w:sz w:val="32"/>
          <w:szCs w:val="32"/>
        </w:rPr>
        <w:t>月，评估准备阶段。</w:t>
      </w:r>
    </w:p>
    <w:p w:rsidR="007B6A08" w:rsidRPr="003639E5" w:rsidRDefault="00A82ED5" w:rsidP="003639E5">
      <w:pPr>
        <w:pStyle w:val="a7"/>
        <w:numPr>
          <w:ilvl w:val="0"/>
          <w:numId w:val="24"/>
        </w:numPr>
        <w:ind w:left="0" w:firstLineChars="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选聘专家督导组，</w:t>
      </w:r>
      <w:r w:rsidR="00D37AF5">
        <w:rPr>
          <w:rFonts w:ascii="华文仿宋" w:eastAsia="华文仿宋" w:hAnsi="华文仿宋" w:cs="黑体" w:hint="eastAsia"/>
          <w:sz w:val="32"/>
          <w:szCs w:val="32"/>
        </w:rPr>
        <w:t>分学科门类制定学位授权点</w:t>
      </w:r>
      <w:r w:rsidR="00822F8B" w:rsidRPr="003639E5">
        <w:rPr>
          <w:rFonts w:ascii="华文仿宋" w:eastAsia="华文仿宋" w:hAnsi="华文仿宋" w:cs="黑体" w:hint="eastAsia"/>
          <w:sz w:val="32"/>
          <w:szCs w:val="32"/>
        </w:rPr>
        <w:t>自我评估指标体系</w:t>
      </w:r>
      <w:r w:rsidR="00792E2D" w:rsidRPr="003639E5">
        <w:rPr>
          <w:rFonts w:ascii="华文仿宋" w:eastAsia="华文仿宋" w:hAnsi="华文仿宋" w:cs="黑体" w:hint="eastAsia"/>
          <w:sz w:val="32"/>
          <w:szCs w:val="32"/>
        </w:rPr>
        <w:t>，</w:t>
      </w:r>
      <w:r>
        <w:rPr>
          <w:rFonts w:ascii="华文仿宋" w:eastAsia="华文仿宋" w:hAnsi="华文仿宋" w:cs="黑体" w:hint="eastAsia"/>
          <w:sz w:val="32"/>
          <w:szCs w:val="32"/>
        </w:rPr>
        <w:t>开发学位授权点信息采集平台</w:t>
      </w:r>
      <w:r w:rsidR="00822F8B" w:rsidRPr="003639E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CF4B64" w:rsidRPr="003639E5" w:rsidRDefault="00CF4B64" w:rsidP="003639E5">
      <w:pPr>
        <w:pStyle w:val="a7"/>
        <w:numPr>
          <w:ilvl w:val="0"/>
          <w:numId w:val="24"/>
        </w:numPr>
        <w:adjustRightInd w:val="0"/>
        <w:ind w:left="0" w:firstLineChars="0" w:firstLine="640"/>
        <w:rPr>
          <w:rFonts w:ascii="华文仿宋" w:eastAsia="华文仿宋" w:hAnsi="华文仿宋" w:cs="黑体"/>
          <w:sz w:val="32"/>
          <w:szCs w:val="32"/>
        </w:rPr>
      </w:pPr>
      <w:r w:rsidRPr="003639E5">
        <w:rPr>
          <w:rFonts w:ascii="华文仿宋" w:eastAsia="华文仿宋" w:hAnsi="华文仿宋" w:cs="黑体" w:hint="eastAsia"/>
          <w:sz w:val="32"/>
          <w:szCs w:val="32"/>
        </w:rPr>
        <w:t>学院</w:t>
      </w:r>
      <w:r w:rsidR="000032A6" w:rsidRPr="003639E5">
        <w:rPr>
          <w:rFonts w:ascii="华文仿宋" w:eastAsia="华文仿宋" w:hAnsi="华文仿宋" w:cs="黑体" w:hint="eastAsia"/>
          <w:sz w:val="32"/>
          <w:szCs w:val="32"/>
        </w:rPr>
        <w:t>对照</w:t>
      </w:r>
      <w:r w:rsidR="00490066" w:rsidRPr="003639E5">
        <w:rPr>
          <w:rFonts w:ascii="华文仿宋" w:eastAsia="华文仿宋" w:hAnsi="华文仿宋" w:cs="黑体" w:hint="eastAsia"/>
          <w:sz w:val="32"/>
          <w:szCs w:val="32"/>
        </w:rPr>
        <w:t>指标体系准备</w:t>
      </w:r>
      <w:r w:rsidR="0010220E" w:rsidRPr="003639E5">
        <w:rPr>
          <w:rFonts w:ascii="华文仿宋" w:eastAsia="华文仿宋" w:hAnsi="华文仿宋" w:cs="黑体" w:hint="eastAsia"/>
          <w:sz w:val="32"/>
          <w:szCs w:val="32"/>
        </w:rPr>
        <w:t>学位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授权</w:t>
      </w:r>
      <w:r w:rsidR="0010220E" w:rsidRPr="003639E5">
        <w:rPr>
          <w:rFonts w:ascii="华文仿宋" w:eastAsia="华文仿宋" w:hAnsi="华文仿宋" w:cs="黑体" w:hint="eastAsia"/>
          <w:sz w:val="32"/>
          <w:szCs w:val="32"/>
        </w:rPr>
        <w:t>点</w:t>
      </w:r>
      <w:r w:rsidR="002E4677" w:rsidRPr="003639E5">
        <w:rPr>
          <w:rFonts w:ascii="华文仿宋" w:eastAsia="华文仿宋" w:hAnsi="华文仿宋" w:cs="黑体" w:hint="eastAsia"/>
          <w:sz w:val="32"/>
          <w:szCs w:val="32"/>
        </w:rPr>
        <w:t>建设目标与定位</w:t>
      </w:r>
      <w:r w:rsidR="00ED45B0" w:rsidRPr="003639E5">
        <w:rPr>
          <w:rFonts w:ascii="华文仿宋" w:eastAsia="华文仿宋" w:hAnsi="华文仿宋" w:cs="黑体" w:hint="eastAsia"/>
          <w:sz w:val="32"/>
          <w:szCs w:val="32"/>
        </w:rPr>
        <w:t>、</w:t>
      </w:r>
      <w:r w:rsidR="002E4677" w:rsidRPr="003639E5">
        <w:rPr>
          <w:rFonts w:ascii="华文仿宋" w:eastAsia="华文仿宋" w:hAnsi="华文仿宋" w:cs="黑体" w:hint="eastAsia"/>
          <w:sz w:val="32"/>
          <w:szCs w:val="32"/>
        </w:rPr>
        <w:t>师资队伍、科学研究</w:t>
      </w:r>
      <w:r w:rsidR="00A82ED5">
        <w:rPr>
          <w:rFonts w:ascii="华文仿宋" w:eastAsia="华文仿宋" w:hAnsi="华文仿宋" w:cs="黑体" w:hint="eastAsia"/>
          <w:sz w:val="32"/>
          <w:szCs w:val="32"/>
        </w:rPr>
        <w:t>、教学科研支撑</w:t>
      </w:r>
      <w:r w:rsidR="002E4677" w:rsidRPr="003639E5">
        <w:rPr>
          <w:rFonts w:ascii="华文仿宋" w:eastAsia="华文仿宋" w:hAnsi="华文仿宋" w:cs="黑体" w:hint="eastAsia"/>
          <w:sz w:val="32"/>
          <w:szCs w:val="32"/>
        </w:rPr>
        <w:t>、人才培养</w:t>
      </w:r>
      <w:r w:rsidR="00521121" w:rsidRPr="003639E5">
        <w:rPr>
          <w:rFonts w:ascii="华文仿宋" w:eastAsia="华文仿宋" w:hAnsi="华文仿宋" w:cs="黑体" w:hint="eastAsia"/>
          <w:sz w:val="32"/>
          <w:szCs w:val="32"/>
        </w:rPr>
        <w:t>、学术交流等</w:t>
      </w:r>
      <w:r w:rsidR="0010220E" w:rsidRPr="003639E5">
        <w:rPr>
          <w:rFonts w:ascii="华文仿宋" w:eastAsia="华文仿宋" w:hAnsi="华文仿宋" w:cs="黑体" w:hint="eastAsia"/>
          <w:sz w:val="32"/>
          <w:szCs w:val="32"/>
        </w:rPr>
        <w:t>基本数据和支撑佐证材料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，指定专人负责信息采集工作</w:t>
      </w:r>
      <w:r w:rsidR="000032A6" w:rsidRPr="003639E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7B6A08" w:rsidRPr="00542954" w:rsidRDefault="007B6A08" w:rsidP="00595ED5">
      <w:pPr>
        <w:pStyle w:val="a7"/>
        <w:numPr>
          <w:ilvl w:val="0"/>
          <w:numId w:val="14"/>
        </w:numPr>
        <w:ind w:left="0" w:firstLineChars="0" w:firstLine="774"/>
        <w:jc w:val="left"/>
        <w:rPr>
          <w:rFonts w:ascii="华文仿宋" w:eastAsia="华文仿宋" w:hAnsi="华文仿宋" w:cs="Times New Roman"/>
          <w:b/>
          <w:sz w:val="32"/>
          <w:szCs w:val="32"/>
        </w:rPr>
      </w:pPr>
      <w:r w:rsidRPr="00595ED5">
        <w:rPr>
          <w:rFonts w:ascii="华文仿宋" w:eastAsia="华文仿宋" w:hAnsi="华文仿宋" w:cs="黑体"/>
          <w:b/>
          <w:bCs/>
          <w:sz w:val="32"/>
          <w:szCs w:val="32"/>
        </w:rPr>
        <w:t>2015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Pr="00595ED5">
        <w:rPr>
          <w:rFonts w:ascii="华文仿宋" w:eastAsia="华文仿宋" w:hAnsi="华文仿宋" w:cs="黑体"/>
          <w:b/>
          <w:bCs/>
          <w:sz w:val="32"/>
          <w:szCs w:val="32"/>
        </w:rPr>
        <w:t>7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月至</w:t>
      </w:r>
      <w:r w:rsidRPr="00595ED5">
        <w:rPr>
          <w:rFonts w:ascii="华文仿宋" w:eastAsia="华文仿宋" w:hAnsi="华文仿宋" w:cs="黑体"/>
          <w:b/>
          <w:bCs/>
          <w:sz w:val="32"/>
          <w:szCs w:val="32"/>
        </w:rPr>
        <w:t>201</w:t>
      </w:r>
      <w:r w:rsidR="00FB5BA9">
        <w:rPr>
          <w:rFonts w:ascii="华文仿宋" w:eastAsia="华文仿宋" w:hAnsi="华文仿宋" w:cs="黑体" w:hint="eastAsia"/>
          <w:b/>
          <w:bCs/>
          <w:sz w:val="32"/>
          <w:szCs w:val="32"/>
        </w:rPr>
        <w:t>5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="00A82ED5">
        <w:rPr>
          <w:rFonts w:ascii="华文仿宋" w:eastAsia="华文仿宋" w:hAnsi="华文仿宋" w:cs="黑体" w:hint="eastAsia"/>
          <w:b/>
          <w:bCs/>
          <w:sz w:val="32"/>
          <w:szCs w:val="32"/>
        </w:rPr>
        <w:t>1</w:t>
      </w:r>
      <w:r w:rsidR="00FB5BA9">
        <w:rPr>
          <w:rFonts w:ascii="华文仿宋" w:eastAsia="华文仿宋" w:hAnsi="华文仿宋" w:cs="黑体" w:hint="eastAsia"/>
          <w:b/>
          <w:bCs/>
          <w:sz w:val="32"/>
          <w:szCs w:val="32"/>
        </w:rPr>
        <w:t>2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月，学位授权点自查自纠阶段。</w:t>
      </w:r>
    </w:p>
    <w:p w:rsidR="007B6A08" w:rsidRPr="003639E5" w:rsidRDefault="003A2F65" w:rsidP="003639E5">
      <w:pPr>
        <w:pStyle w:val="a7"/>
        <w:numPr>
          <w:ilvl w:val="0"/>
          <w:numId w:val="24"/>
        </w:numPr>
        <w:ind w:left="0" w:firstLineChars="0" w:firstLine="640"/>
        <w:rPr>
          <w:rFonts w:ascii="华文仿宋" w:eastAsia="华文仿宋" w:hAnsi="华文仿宋" w:cs="黑体"/>
          <w:sz w:val="32"/>
          <w:szCs w:val="32"/>
        </w:rPr>
      </w:pPr>
      <w:r w:rsidRPr="003639E5">
        <w:rPr>
          <w:rFonts w:ascii="华文仿宋" w:eastAsia="华文仿宋" w:hAnsi="华文仿宋" w:cs="黑体" w:hint="eastAsia"/>
          <w:sz w:val="32"/>
          <w:szCs w:val="32"/>
        </w:rPr>
        <w:t>学院</w:t>
      </w:r>
      <w:r w:rsidR="00521121" w:rsidRPr="003639E5">
        <w:rPr>
          <w:rFonts w:ascii="华文仿宋" w:eastAsia="华文仿宋" w:hAnsi="华文仿宋" w:cs="黑体" w:hint="eastAsia"/>
          <w:sz w:val="32"/>
          <w:szCs w:val="32"/>
        </w:rPr>
        <w:t>通过信息采集平台</w:t>
      </w:r>
      <w:r w:rsidRPr="003639E5">
        <w:rPr>
          <w:rFonts w:ascii="华文仿宋" w:eastAsia="华文仿宋" w:hAnsi="华文仿宋" w:cs="黑体" w:hint="eastAsia"/>
          <w:sz w:val="32"/>
          <w:szCs w:val="32"/>
        </w:rPr>
        <w:t>填报</w:t>
      </w:r>
      <w:r w:rsidR="006B3277" w:rsidRPr="003639E5">
        <w:rPr>
          <w:rFonts w:ascii="华文仿宋" w:eastAsia="华文仿宋" w:hAnsi="华文仿宋" w:cs="黑体" w:hint="eastAsia"/>
          <w:sz w:val="32"/>
          <w:szCs w:val="32"/>
        </w:rPr>
        <w:t>材料</w:t>
      </w:r>
      <w:r w:rsidRPr="003639E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EB6678" w:rsidRPr="003639E5" w:rsidRDefault="00A82ED5" w:rsidP="003639E5">
      <w:pPr>
        <w:pStyle w:val="a7"/>
        <w:numPr>
          <w:ilvl w:val="0"/>
          <w:numId w:val="24"/>
        </w:numPr>
        <w:ind w:left="0" w:firstLineChars="0" w:firstLine="64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学校审核</w:t>
      </w:r>
      <w:r w:rsidR="006B3277" w:rsidRPr="003639E5">
        <w:rPr>
          <w:rFonts w:ascii="华文仿宋" w:eastAsia="华文仿宋" w:hAnsi="华文仿宋" w:cs="黑体" w:hint="eastAsia"/>
          <w:sz w:val="32"/>
          <w:szCs w:val="32"/>
        </w:rPr>
        <w:t>材料，并将意见反馈学院</w:t>
      </w:r>
      <w:r w:rsidR="003A2F65" w:rsidRPr="003639E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635898" w:rsidRPr="003639E5" w:rsidRDefault="006B3277" w:rsidP="003639E5">
      <w:pPr>
        <w:pStyle w:val="a7"/>
        <w:numPr>
          <w:ilvl w:val="0"/>
          <w:numId w:val="24"/>
        </w:numPr>
        <w:ind w:left="0" w:firstLineChars="0" w:firstLine="640"/>
        <w:rPr>
          <w:rFonts w:ascii="华文仿宋" w:eastAsia="华文仿宋" w:hAnsi="华文仿宋" w:cs="Times New Roman"/>
          <w:sz w:val="32"/>
          <w:szCs w:val="32"/>
        </w:rPr>
      </w:pPr>
      <w:r w:rsidRPr="003639E5">
        <w:rPr>
          <w:rFonts w:ascii="华文仿宋" w:eastAsia="华文仿宋" w:hAnsi="华文仿宋" w:cs="黑体" w:hint="eastAsia"/>
          <w:sz w:val="32"/>
          <w:szCs w:val="32"/>
        </w:rPr>
        <w:t>学院补充修改</w:t>
      </w:r>
      <w:r w:rsidR="00A05A44">
        <w:rPr>
          <w:rFonts w:ascii="华文仿宋" w:eastAsia="华文仿宋" w:hAnsi="华文仿宋" w:cs="黑体" w:hint="eastAsia"/>
          <w:sz w:val="32"/>
          <w:szCs w:val="32"/>
        </w:rPr>
        <w:t>学位授权点</w:t>
      </w:r>
      <w:r w:rsidRPr="003639E5">
        <w:rPr>
          <w:rFonts w:ascii="华文仿宋" w:eastAsia="华文仿宋" w:hAnsi="华文仿宋" w:cs="黑体" w:hint="eastAsia"/>
          <w:sz w:val="32"/>
          <w:szCs w:val="32"/>
        </w:rPr>
        <w:t>材料，</w:t>
      </w:r>
      <w:r w:rsidR="00A82ED5">
        <w:rPr>
          <w:rFonts w:ascii="华文仿宋" w:eastAsia="华文仿宋" w:hAnsi="华文仿宋" w:cs="黑体" w:hint="eastAsia"/>
          <w:sz w:val="32"/>
          <w:szCs w:val="32"/>
        </w:rPr>
        <w:t>更正</w:t>
      </w:r>
      <w:r w:rsidR="005364BF">
        <w:rPr>
          <w:rFonts w:ascii="华文仿宋" w:eastAsia="华文仿宋" w:hAnsi="华文仿宋" w:cs="黑体" w:hint="eastAsia"/>
          <w:sz w:val="32"/>
          <w:szCs w:val="32"/>
        </w:rPr>
        <w:t>有</w:t>
      </w:r>
      <w:r w:rsidRPr="003639E5">
        <w:rPr>
          <w:rFonts w:ascii="华文仿宋" w:eastAsia="华文仿宋" w:hAnsi="华文仿宋" w:cs="黑体" w:hint="eastAsia"/>
          <w:sz w:val="32"/>
          <w:szCs w:val="32"/>
        </w:rPr>
        <w:t>关数据。</w:t>
      </w:r>
    </w:p>
    <w:p w:rsidR="007B6A08" w:rsidRPr="003876FA" w:rsidRDefault="007B6A08" w:rsidP="003876FA">
      <w:pPr>
        <w:pStyle w:val="a7"/>
        <w:numPr>
          <w:ilvl w:val="0"/>
          <w:numId w:val="14"/>
        </w:numPr>
        <w:ind w:left="0" w:firstLineChars="0" w:firstLine="795"/>
        <w:jc w:val="left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3876FA">
        <w:rPr>
          <w:rFonts w:ascii="华文仿宋" w:eastAsia="华文仿宋" w:hAnsi="华文仿宋" w:cs="黑体"/>
          <w:b/>
          <w:bCs/>
          <w:sz w:val="32"/>
          <w:szCs w:val="32"/>
        </w:rPr>
        <w:t>2016</w:t>
      </w:r>
      <w:r w:rsidRPr="003876FA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Pr="003876FA">
        <w:rPr>
          <w:rFonts w:ascii="华文仿宋" w:eastAsia="华文仿宋" w:hAnsi="华文仿宋" w:cs="黑体"/>
          <w:b/>
          <w:bCs/>
          <w:sz w:val="32"/>
          <w:szCs w:val="32"/>
        </w:rPr>
        <w:t>3</w:t>
      </w:r>
      <w:r w:rsidRPr="003876FA">
        <w:rPr>
          <w:rFonts w:ascii="华文仿宋" w:eastAsia="华文仿宋" w:hAnsi="华文仿宋" w:cs="黑体" w:hint="eastAsia"/>
          <w:b/>
          <w:bCs/>
          <w:sz w:val="32"/>
          <w:szCs w:val="32"/>
        </w:rPr>
        <w:t>月至</w:t>
      </w:r>
      <w:r w:rsidRPr="003876FA">
        <w:rPr>
          <w:rFonts w:ascii="华文仿宋" w:eastAsia="华文仿宋" w:hAnsi="华文仿宋" w:cs="黑体"/>
          <w:b/>
          <w:bCs/>
          <w:sz w:val="32"/>
          <w:szCs w:val="32"/>
        </w:rPr>
        <w:t>2016</w:t>
      </w:r>
      <w:r w:rsidRPr="003876FA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Pr="003876FA">
        <w:rPr>
          <w:rFonts w:ascii="华文仿宋" w:eastAsia="华文仿宋" w:hAnsi="华文仿宋" w:cs="黑体"/>
          <w:b/>
          <w:bCs/>
          <w:sz w:val="32"/>
          <w:szCs w:val="32"/>
        </w:rPr>
        <w:t>8</w:t>
      </w:r>
      <w:r w:rsidRPr="003876FA">
        <w:rPr>
          <w:rFonts w:ascii="华文仿宋" w:eastAsia="华文仿宋" w:hAnsi="华文仿宋" w:cs="黑体" w:hint="eastAsia"/>
          <w:b/>
          <w:bCs/>
          <w:sz w:val="32"/>
          <w:szCs w:val="32"/>
        </w:rPr>
        <w:t>月，专家遴选和通讯评议阶段。</w:t>
      </w:r>
    </w:p>
    <w:p w:rsidR="006B3277" w:rsidRPr="003639E5" w:rsidRDefault="003F6526" w:rsidP="00A05A44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 w:rsidRPr="003639E5">
        <w:rPr>
          <w:rFonts w:ascii="华文仿宋" w:eastAsia="华文仿宋" w:hAnsi="华文仿宋" w:cs="黑体" w:hint="eastAsia"/>
          <w:sz w:val="32"/>
          <w:szCs w:val="32"/>
        </w:rPr>
        <w:t>推荐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遴选</w:t>
      </w:r>
      <w:r w:rsidRPr="003639E5">
        <w:rPr>
          <w:rFonts w:ascii="华文仿宋" w:eastAsia="华文仿宋" w:hAnsi="华文仿宋" w:cs="黑体" w:hint="eastAsia"/>
          <w:sz w:val="32"/>
          <w:szCs w:val="32"/>
        </w:rPr>
        <w:t>评估专家。</w:t>
      </w:r>
    </w:p>
    <w:p w:rsidR="0037101B" w:rsidRDefault="0037101B" w:rsidP="003639E5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组织国际和国内通讯评议。</w:t>
      </w:r>
    </w:p>
    <w:p w:rsidR="00AC0B88" w:rsidRPr="003639E5" w:rsidRDefault="003F6526" w:rsidP="003639E5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 w:rsidRPr="003639E5">
        <w:rPr>
          <w:rFonts w:ascii="华文仿宋" w:eastAsia="华文仿宋" w:hAnsi="华文仿宋" w:cs="黑体" w:hint="eastAsia"/>
          <w:sz w:val="32"/>
          <w:szCs w:val="32"/>
        </w:rPr>
        <w:t>汇总通讯专家评议意见，反馈学院。</w:t>
      </w:r>
    </w:p>
    <w:p w:rsidR="007B6A08" w:rsidRPr="00595ED5" w:rsidRDefault="007B6A08" w:rsidP="00595ED5">
      <w:pPr>
        <w:pStyle w:val="a7"/>
        <w:numPr>
          <w:ilvl w:val="0"/>
          <w:numId w:val="14"/>
        </w:numPr>
        <w:ind w:left="0" w:firstLineChars="0" w:firstLine="795"/>
        <w:jc w:val="left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595ED5">
        <w:rPr>
          <w:rFonts w:ascii="华文仿宋" w:eastAsia="华文仿宋" w:hAnsi="华文仿宋" w:cs="黑体"/>
          <w:b/>
          <w:bCs/>
          <w:sz w:val="32"/>
          <w:szCs w:val="32"/>
        </w:rPr>
        <w:t>2016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Pr="00595ED5">
        <w:rPr>
          <w:rFonts w:ascii="华文仿宋" w:eastAsia="华文仿宋" w:hAnsi="华文仿宋" w:cs="黑体"/>
          <w:b/>
          <w:bCs/>
          <w:sz w:val="32"/>
          <w:szCs w:val="32"/>
        </w:rPr>
        <w:t>9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月至</w:t>
      </w:r>
      <w:r w:rsidRPr="00595ED5">
        <w:rPr>
          <w:rFonts w:ascii="华文仿宋" w:eastAsia="华文仿宋" w:hAnsi="华文仿宋" w:cs="黑体"/>
          <w:b/>
          <w:bCs/>
          <w:sz w:val="32"/>
          <w:szCs w:val="32"/>
        </w:rPr>
        <w:t>201</w:t>
      </w:r>
      <w:r w:rsidR="00FB5BA9">
        <w:rPr>
          <w:rFonts w:ascii="华文仿宋" w:eastAsia="华文仿宋" w:hAnsi="华文仿宋" w:cs="黑体" w:hint="eastAsia"/>
          <w:b/>
          <w:bCs/>
          <w:sz w:val="32"/>
          <w:szCs w:val="32"/>
        </w:rPr>
        <w:t>7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="00FB5BA9">
        <w:rPr>
          <w:rFonts w:ascii="华文仿宋" w:eastAsia="华文仿宋" w:hAnsi="华文仿宋" w:cs="黑体"/>
          <w:b/>
          <w:bCs/>
          <w:sz w:val="32"/>
          <w:szCs w:val="32"/>
        </w:rPr>
        <w:t>1</w:t>
      </w:r>
      <w:r w:rsidRPr="00595ED5">
        <w:rPr>
          <w:rFonts w:ascii="华文仿宋" w:eastAsia="华文仿宋" w:hAnsi="华文仿宋" w:cs="黑体" w:hint="eastAsia"/>
          <w:b/>
          <w:bCs/>
          <w:sz w:val="32"/>
          <w:szCs w:val="32"/>
        </w:rPr>
        <w:t>月，现场考查阶段。</w:t>
      </w:r>
    </w:p>
    <w:p w:rsidR="00772A21" w:rsidRPr="003639E5" w:rsidRDefault="003F6526" w:rsidP="003639E5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 w:rsidRPr="003639E5">
        <w:rPr>
          <w:rFonts w:ascii="华文仿宋" w:eastAsia="华文仿宋" w:hAnsi="华文仿宋" w:cs="黑体" w:hint="eastAsia"/>
          <w:sz w:val="32"/>
          <w:szCs w:val="32"/>
        </w:rPr>
        <w:t>学院</w:t>
      </w:r>
      <w:r w:rsidR="00AA753F" w:rsidRPr="003639E5">
        <w:rPr>
          <w:rFonts w:ascii="华文仿宋" w:eastAsia="华文仿宋" w:hAnsi="华文仿宋" w:cs="黑体" w:hint="eastAsia"/>
          <w:sz w:val="32"/>
          <w:szCs w:val="32"/>
        </w:rPr>
        <w:t>做好</w:t>
      </w:r>
      <w:r w:rsidR="00A05A44">
        <w:rPr>
          <w:rFonts w:ascii="华文仿宋" w:eastAsia="华文仿宋" w:hAnsi="华文仿宋" w:cs="黑体" w:hint="eastAsia"/>
          <w:sz w:val="32"/>
          <w:szCs w:val="32"/>
        </w:rPr>
        <w:t>专家</w:t>
      </w:r>
      <w:r w:rsidR="00AA753F" w:rsidRPr="003639E5">
        <w:rPr>
          <w:rFonts w:ascii="华文仿宋" w:eastAsia="华文仿宋" w:hAnsi="华文仿宋" w:cs="黑体" w:hint="eastAsia"/>
          <w:sz w:val="32"/>
          <w:szCs w:val="32"/>
        </w:rPr>
        <w:t>现场考查准备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备查</w:t>
      </w:r>
      <w:r w:rsidR="00AA753F" w:rsidRPr="003639E5">
        <w:rPr>
          <w:rFonts w:ascii="华文仿宋" w:eastAsia="华文仿宋" w:hAnsi="华文仿宋" w:cs="黑体" w:hint="eastAsia"/>
          <w:sz w:val="32"/>
          <w:szCs w:val="32"/>
        </w:rPr>
        <w:t>教学规章制度、教学文件、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研究生</w:t>
      </w:r>
      <w:r w:rsidR="00AA753F" w:rsidRPr="003639E5">
        <w:rPr>
          <w:rFonts w:ascii="华文仿宋" w:eastAsia="华文仿宋" w:hAnsi="华文仿宋" w:cs="黑体" w:hint="eastAsia"/>
          <w:sz w:val="32"/>
          <w:szCs w:val="32"/>
        </w:rPr>
        <w:t>作</w:t>
      </w:r>
      <w:r w:rsidR="00AA753F" w:rsidRPr="00516973">
        <w:rPr>
          <w:rFonts w:ascii="华文仿宋" w:eastAsia="华文仿宋" w:hAnsi="华文仿宋" w:cs="黑体" w:hint="eastAsia"/>
          <w:sz w:val="32"/>
          <w:szCs w:val="32"/>
        </w:rPr>
        <w:t>业、</w:t>
      </w:r>
      <w:r w:rsidR="00516973" w:rsidRPr="00516973">
        <w:rPr>
          <w:rFonts w:ascii="华文仿宋" w:eastAsia="华文仿宋" w:hAnsi="华文仿宋" w:cs="黑体" w:hint="eastAsia"/>
          <w:sz w:val="32"/>
          <w:szCs w:val="32"/>
        </w:rPr>
        <w:t>实践报告</w:t>
      </w:r>
      <w:r w:rsidR="00AA753F" w:rsidRPr="00516973">
        <w:rPr>
          <w:rFonts w:ascii="华文仿宋" w:eastAsia="华文仿宋" w:hAnsi="华文仿宋" w:cs="黑体" w:hint="eastAsia"/>
          <w:sz w:val="32"/>
          <w:szCs w:val="32"/>
        </w:rPr>
        <w:t>、试</w:t>
      </w:r>
      <w:r w:rsidR="00AA753F" w:rsidRPr="003639E5">
        <w:rPr>
          <w:rFonts w:ascii="华文仿宋" w:eastAsia="华文仿宋" w:hAnsi="华文仿宋" w:cs="黑体" w:hint="eastAsia"/>
          <w:sz w:val="32"/>
          <w:szCs w:val="32"/>
        </w:rPr>
        <w:t>题试卷、实验报告、</w:t>
      </w:r>
      <w:r w:rsidR="00FB5BA9">
        <w:rPr>
          <w:rFonts w:ascii="华文仿宋" w:eastAsia="华文仿宋" w:hAnsi="华文仿宋" w:cs="黑体" w:hint="eastAsia"/>
          <w:sz w:val="32"/>
          <w:szCs w:val="32"/>
        </w:rPr>
        <w:t>学位</w:t>
      </w:r>
      <w:r w:rsidR="00AA753F" w:rsidRPr="003639E5">
        <w:rPr>
          <w:rFonts w:ascii="华文仿宋" w:eastAsia="华文仿宋" w:hAnsi="华文仿宋" w:cs="黑体" w:hint="eastAsia"/>
          <w:sz w:val="32"/>
          <w:szCs w:val="32"/>
        </w:rPr>
        <w:t>论文等</w:t>
      </w:r>
      <w:r w:rsidR="00C742D8" w:rsidRPr="003639E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37101B" w:rsidRPr="0037101B" w:rsidRDefault="0037101B" w:rsidP="00FB518D">
      <w:pPr>
        <w:pStyle w:val="a7"/>
        <w:numPr>
          <w:ilvl w:val="0"/>
          <w:numId w:val="14"/>
        </w:numPr>
        <w:ind w:left="0" w:firstLineChars="0" w:firstLine="795"/>
        <w:jc w:val="left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37101B">
        <w:rPr>
          <w:rFonts w:ascii="华文仿宋" w:eastAsia="华文仿宋" w:hAnsi="华文仿宋" w:cs="黑体" w:hint="eastAsia"/>
          <w:b/>
          <w:bCs/>
          <w:sz w:val="32"/>
          <w:szCs w:val="32"/>
        </w:rPr>
        <w:lastRenderedPageBreak/>
        <w:t>2017年</w:t>
      </w:r>
      <w:r>
        <w:rPr>
          <w:rFonts w:ascii="华文仿宋" w:eastAsia="华文仿宋" w:hAnsi="华文仿宋" w:cs="黑体" w:hint="eastAsia"/>
          <w:b/>
          <w:bCs/>
          <w:sz w:val="32"/>
          <w:szCs w:val="32"/>
        </w:rPr>
        <w:t>3</w:t>
      </w:r>
      <w:r w:rsidRPr="0037101B">
        <w:rPr>
          <w:rFonts w:ascii="华文仿宋" w:eastAsia="华文仿宋" w:hAnsi="华文仿宋" w:cs="黑体" w:hint="eastAsia"/>
          <w:b/>
          <w:bCs/>
          <w:sz w:val="32"/>
          <w:szCs w:val="32"/>
        </w:rPr>
        <w:t>月，学位授权点动态调整阶段。</w:t>
      </w:r>
    </w:p>
    <w:p w:rsidR="007B6A08" w:rsidRPr="003639E5" w:rsidRDefault="00595ED5" w:rsidP="0037101B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 w:rsidRPr="00A05A44">
        <w:rPr>
          <w:rFonts w:ascii="华文仿宋" w:eastAsia="华文仿宋" w:hAnsi="华文仿宋" w:cs="黑体" w:hint="eastAsia"/>
          <w:sz w:val="32"/>
          <w:szCs w:val="32"/>
        </w:rPr>
        <w:t>学校公示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学位授权点</w:t>
      </w:r>
      <w:r w:rsidRPr="00A05A44">
        <w:rPr>
          <w:rFonts w:ascii="华文仿宋" w:eastAsia="华文仿宋" w:hAnsi="华文仿宋" w:cs="黑体" w:hint="eastAsia"/>
          <w:sz w:val="32"/>
          <w:szCs w:val="32"/>
        </w:rPr>
        <w:t>自我评估结果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C51324" w:rsidRPr="003639E5">
        <w:rPr>
          <w:rFonts w:ascii="华文仿宋" w:eastAsia="华文仿宋" w:hAnsi="华文仿宋" w:cs="黑体" w:hint="eastAsia"/>
          <w:sz w:val="32"/>
          <w:szCs w:val="32"/>
        </w:rPr>
        <w:t>公布学位授权点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动态</w:t>
      </w:r>
      <w:r w:rsidR="00C51324" w:rsidRPr="003639E5">
        <w:rPr>
          <w:rFonts w:ascii="华文仿宋" w:eastAsia="华文仿宋" w:hAnsi="华文仿宋" w:cs="黑体" w:hint="eastAsia"/>
          <w:sz w:val="32"/>
          <w:szCs w:val="32"/>
        </w:rPr>
        <w:t>调整方案。</w:t>
      </w:r>
      <w:r w:rsidR="001D00C6">
        <w:rPr>
          <w:rFonts w:ascii="华文仿宋" w:eastAsia="华文仿宋" w:hAnsi="华文仿宋" w:cs="黑体" w:hint="eastAsia"/>
          <w:sz w:val="32"/>
          <w:szCs w:val="32"/>
        </w:rPr>
        <w:t>撤销</w:t>
      </w:r>
      <w:r w:rsidR="00C742D8" w:rsidRPr="003639E5">
        <w:rPr>
          <w:rFonts w:ascii="华文仿宋" w:eastAsia="华文仿宋" w:hAnsi="华文仿宋" w:cs="黑体" w:hint="eastAsia"/>
          <w:sz w:val="32"/>
          <w:szCs w:val="32"/>
        </w:rPr>
        <w:t>授权的学位</w:t>
      </w:r>
      <w:r w:rsidR="00D34B94" w:rsidRPr="003639E5">
        <w:rPr>
          <w:rFonts w:ascii="华文仿宋" w:eastAsia="华文仿宋" w:hAnsi="华文仿宋" w:cs="黑体" w:hint="eastAsia"/>
          <w:sz w:val="32"/>
          <w:szCs w:val="32"/>
        </w:rPr>
        <w:t>授权</w:t>
      </w:r>
      <w:r w:rsidR="00C742D8" w:rsidRPr="003639E5">
        <w:rPr>
          <w:rFonts w:ascii="华文仿宋" w:eastAsia="华文仿宋" w:hAnsi="华文仿宋" w:cs="黑体" w:hint="eastAsia"/>
          <w:sz w:val="32"/>
          <w:szCs w:val="32"/>
        </w:rPr>
        <w:t>点</w:t>
      </w:r>
      <w:r w:rsidR="001D00C6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原则上</w:t>
      </w:r>
      <w:r w:rsidR="00C742D8" w:rsidRPr="003639E5">
        <w:rPr>
          <w:rFonts w:ascii="华文仿宋" w:eastAsia="华文仿宋" w:hAnsi="华文仿宋" w:cs="黑体" w:hint="eastAsia"/>
          <w:sz w:val="32"/>
          <w:szCs w:val="32"/>
        </w:rPr>
        <w:t>5</w:t>
      </w:r>
      <w:r w:rsidR="001D00C6">
        <w:rPr>
          <w:rFonts w:ascii="华文仿宋" w:eastAsia="华文仿宋" w:hAnsi="华文仿宋" w:cs="黑体" w:hint="eastAsia"/>
          <w:sz w:val="32"/>
          <w:szCs w:val="32"/>
        </w:rPr>
        <w:t>年内不得重新申请授权</w:t>
      </w:r>
      <w:r w:rsidR="00C742D8" w:rsidRPr="003639E5"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7B6A08" w:rsidRPr="00FB518D" w:rsidRDefault="007B6A08" w:rsidP="00FB518D">
      <w:pPr>
        <w:pStyle w:val="a7"/>
        <w:numPr>
          <w:ilvl w:val="0"/>
          <w:numId w:val="14"/>
        </w:numPr>
        <w:ind w:left="0" w:firstLineChars="0" w:firstLine="795"/>
        <w:jc w:val="left"/>
        <w:rPr>
          <w:rFonts w:ascii="华文仿宋" w:eastAsia="华文仿宋" w:hAnsi="华文仿宋" w:cs="黑体"/>
          <w:b/>
          <w:bCs/>
          <w:sz w:val="32"/>
          <w:szCs w:val="32"/>
        </w:rPr>
      </w:pPr>
      <w:r w:rsidRPr="00FB518D">
        <w:rPr>
          <w:rFonts w:ascii="华文仿宋" w:eastAsia="华文仿宋" w:hAnsi="华文仿宋" w:cs="黑体"/>
          <w:b/>
          <w:bCs/>
          <w:sz w:val="32"/>
          <w:szCs w:val="32"/>
        </w:rPr>
        <w:t>2017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="0037101B"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4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月至</w:t>
      </w:r>
      <w:r w:rsidRPr="00FB518D">
        <w:rPr>
          <w:rFonts w:ascii="华文仿宋" w:eastAsia="华文仿宋" w:hAnsi="华文仿宋" w:cs="黑体"/>
          <w:b/>
          <w:bCs/>
          <w:sz w:val="32"/>
          <w:szCs w:val="32"/>
        </w:rPr>
        <w:t>2018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="0037101B"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6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月，改进提升阶段。</w:t>
      </w:r>
    </w:p>
    <w:p w:rsidR="00590B16" w:rsidRPr="00590B16" w:rsidRDefault="00C742D8" w:rsidP="00590B16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未被调整的学位授权点</w:t>
      </w:r>
      <w:r w:rsidR="007B6A08" w:rsidRPr="00542954">
        <w:rPr>
          <w:rFonts w:ascii="华文仿宋" w:eastAsia="华文仿宋" w:hAnsi="华文仿宋" w:cs="黑体" w:hint="eastAsia"/>
          <w:sz w:val="32"/>
          <w:szCs w:val="32"/>
        </w:rPr>
        <w:t>根据评估中发现的问题和不足，结合评估专家意见制定改进提升方案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FF3000">
        <w:rPr>
          <w:rFonts w:ascii="华文仿宋" w:eastAsia="华文仿宋" w:hAnsi="华文仿宋" w:cs="黑体" w:hint="eastAsia"/>
          <w:sz w:val="32"/>
          <w:szCs w:val="32"/>
        </w:rPr>
        <w:t>并</w:t>
      </w:r>
      <w:r w:rsidR="002E6B75">
        <w:rPr>
          <w:rFonts w:ascii="华文仿宋" w:eastAsia="华文仿宋" w:hAnsi="华文仿宋" w:cs="黑体" w:hint="eastAsia"/>
          <w:sz w:val="32"/>
          <w:szCs w:val="32"/>
        </w:rPr>
        <w:t>落实整改。</w:t>
      </w:r>
    </w:p>
    <w:p w:rsidR="007B6A08" w:rsidRPr="00595ED5" w:rsidRDefault="007B6A08" w:rsidP="00595ED5">
      <w:pPr>
        <w:pStyle w:val="a7"/>
        <w:numPr>
          <w:ilvl w:val="0"/>
          <w:numId w:val="14"/>
        </w:numPr>
        <w:ind w:left="0" w:firstLineChars="0" w:firstLine="795"/>
        <w:jc w:val="left"/>
        <w:rPr>
          <w:rFonts w:ascii="华文仿宋" w:eastAsia="华文仿宋" w:hAnsi="华文仿宋" w:cs="Times New Roman"/>
          <w:b/>
          <w:sz w:val="32"/>
          <w:szCs w:val="32"/>
        </w:rPr>
      </w:pPr>
      <w:r w:rsidRPr="00FB518D">
        <w:rPr>
          <w:rFonts w:ascii="华文仿宋" w:eastAsia="华文仿宋" w:hAnsi="华文仿宋" w:cs="黑体"/>
          <w:b/>
          <w:bCs/>
          <w:sz w:val="32"/>
          <w:szCs w:val="32"/>
        </w:rPr>
        <w:t>2018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Pr="00FB518D">
        <w:rPr>
          <w:rFonts w:ascii="华文仿宋" w:eastAsia="华文仿宋" w:hAnsi="华文仿宋" w:cs="黑体"/>
          <w:b/>
          <w:bCs/>
          <w:sz w:val="32"/>
          <w:szCs w:val="32"/>
        </w:rPr>
        <w:t>9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月至</w:t>
      </w:r>
      <w:r w:rsidRPr="00FB518D">
        <w:rPr>
          <w:rFonts w:ascii="华文仿宋" w:eastAsia="华文仿宋" w:hAnsi="华文仿宋" w:cs="黑体"/>
          <w:b/>
          <w:bCs/>
          <w:sz w:val="32"/>
          <w:szCs w:val="32"/>
        </w:rPr>
        <w:t>2018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年</w:t>
      </w:r>
      <w:r w:rsidRPr="00FB518D">
        <w:rPr>
          <w:rFonts w:ascii="华文仿宋" w:eastAsia="华文仿宋" w:hAnsi="华文仿宋" w:cs="黑体"/>
          <w:b/>
          <w:bCs/>
          <w:sz w:val="32"/>
          <w:szCs w:val="32"/>
        </w:rPr>
        <w:t>1</w:t>
      </w:r>
      <w:r w:rsidR="00FB24E4"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0</w:t>
      </w:r>
      <w:r w:rsidRPr="00FB518D">
        <w:rPr>
          <w:rFonts w:ascii="华文仿宋" w:eastAsia="华文仿宋" w:hAnsi="华文仿宋" w:cs="黑体" w:hint="eastAsia"/>
          <w:b/>
          <w:bCs/>
          <w:sz w:val="32"/>
          <w:szCs w:val="32"/>
        </w:rPr>
        <w:t>月，自评报告的完善和提</w:t>
      </w:r>
      <w:r w:rsidRPr="00595ED5">
        <w:rPr>
          <w:rFonts w:ascii="华文仿宋" w:eastAsia="华文仿宋" w:hAnsi="华文仿宋" w:cs="黑体" w:hint="eastAsia"/>
          <w:b/>
          <w:sz w:val="32"/>
          <w:szCs w:val="32"/>
        </w:rPr>
        <w:t>交阶段。</w:t>
      </w:r>
    </w:p>
    <w:p w:rsidR="00C51324" w:rsidRDefault="00C51324" w:rsidP="00595ED5">
      <w:pPr>
        <w:pStyle w:val="a7"/>
        <w:numPr>
          <w:ilvl w:val="0"/>
          <w:numId w:val="24"/>
        </w:numPr>
        <w:ind w:left="0" w:firstLineChars="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学院</w:t>
      </w:r>
      <w:r w:rsidR="001D00C6">
        <w:rPr>
          <w:rFonts w:ascii="华文仿宋" w:eastAsia="华文仿宋" w:hAnsi="华文仿宋" w:cs="黑体" w:hint="eastAsia"/>
          <w:sz w:val="32"/>
          <w:szCs w:val="32"/>
        </w:rPr>
        <w:t>撰</w:t>
      </w:r>
      <w:r w:rsidR="00FB24E4">
        <w:rPr>
          <w:rFonts w:ascii="华文仿宋" w:eastAsia="华文仿宋" w:hAnsi="华文仿宋" w:cs="黑体" w:hint="eastAsia"/>
          <w:sz w:val="32"/>
          <w:szCs w:val="32"/>
        </w:rPr>
        <w:t>写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《学位授权点自我评估总结报告》</w:t>
      </w:r>
      <w:r w:rsidR="00FB24E4">
        <w:rPr>
          <w:rFonts w:ascii="华文仿宋" w:eastAsia="华文仿宋" w:hAnsi="华文仿宋" w:cs="黑体" w:hint="eastAsia"/>
          <w:sz w:val="32"/>
          <w:szCs w:val="32"/>
        </w:rPr>
        <w:t>，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提交全国学位与研究生教育质量信息平台</w:t>
      </w:r>
      <w:r>
        <w:rPr>
          <w:rFonts w:ascii="华文仿宋" w:eastAsia="华文仿宋" w:hAnsi="华文仿宋" w:cs="黑体" w:hint="eastAsia"/>
          <w:sz w:val="32"/>
          <w:szCs w:val="32"/>
        </w:rPr>
        <w:t>。</w:t>
      </w:r>
    </w:p>
    <w:p w:rsidR="003F6526" w:rsidRPr="005144ED" w:rsidRDefault="003F6526" w:rsidP="007B6A08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</w:pPr>
    </w:p>
    <w:p w:rsidR="00FF3000" w:rsidRPr="00542954" w:rsidRDefault="00FF3000" w:rsidP="007B6A08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</w:pPr>
    </w:p>
    <w:p w:rsidR="007B6A08" w:rsidRDefault="00782F9D" w:rsidP="00B34228">
      <w:pPr>
        <w:ind w:left="420"/>
        <w:rPr>
          <w:rFonts w:ascii="华文仿宋" w:eastAsia="华文仿宋" w:hAnsi="华文仿宋" w:cs="黑体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附表</w:t>
      </w:r>
      <w:r w:rsidR="00FF475A">
        <w:rPr>
          <w:rFonts w:ascii="华文仿宋" w:eastAsia="华文仿宋" w:hAnsi="华文仿宋" w:cs="黑体" w:hint="eastAsia"/>
          <w:sz w:val="32"/>
          <w:szCs w:val="32"/>
        </w:rPr>
        <w:t>：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1</w:t>
      </w:r>
      <w:r w:rsidR="00FF475A">
        <w:rPr>
          <w:rFonts w:ascii="华文仿宋" w:eastAsia="华文仿宋" w:hAnsi="华文仿宋" w:cs="黑体" w:hint="eastAsia"/>
          <w:sz w:val="32"/>
          <w:szCs w:val="32"/>
        </w:rPr>
        <w:t xml:space="preserve">. </w:t>
      </w:r>
      <w:r w:rsidR="00325A23" w:rsidRPr="00542954">
        <w:rPr>
          <w:rFonts w:ascii="华文仿宋" w:eastAsia="华文仿宋" w:hAnsi="华文仿宋" w:cs="黑体" w:hint="eastAsia"/>
          <w:sz w:val="32"/>
          <w:szCs w:val="32"/>
        </w:rPr>
        <w:t>参</w:t>
      </w:r>
      <w:r w:rsidR="00A05A44">
        <w:rPr>
          <w:rFonts w:ascii="华文仿宋" w:eastAsia="华文仿宋" w:hAnsi="华文仿宋" w:cs="黑体" w:hint="eastAsia"/>
          <w:sz w:val="32"/>
          <w:szCs w:val="32"/>
        </w:rPr>
        <w:t>加</w:t>
      </w:r>
      <w:r w:rsidR="008F437A">
        <w:rPr>
          <w:rFonts w:ascii="华文仿宋" w:eastAsia="华文仿宋" w:hAnsi="华文仿宋" w:cs="黑体" w:hint="eastAsia"/>
          <w:sz w:val="32"/>
          <w:szCs w:val="32"/>
        </w:rPr>
        <w:t>学校自评</w:t>
      </w:r>
      <w:r w:rsidR="006234DE">
        <w:rPr>
          <w:rFonts w:ascii="华文仿宋" w:eastAsia="华文仿宋" w:hAnsi="华文仿宋" w:cs="黑体" w:hint="eastAsia"/>
          <w:sz w:val="32"/>
          <w:szCs w:val="32"/>
        </w:rPr>
        <w:t>的</w:t>
      </w:r>
      <w:r w:rsidR="008F437A">
        <w:rPr>
          <w:rFonts w:ascii="华文仿宋" w:eastAsia="华文仿宋" w:hAnsi="华文仿宋" w:cs="黑体" w:hint="eastAsia"/>
          <w:sz w:val="32"/>
          <w:szCs w:val="32"/>
        </w:rPr>
        <w:t>学</w:t>
      </w:r>
      <w:r w:rsidR="006234DE">
        <w:rPr>
          <w:rFonts w:ascii="华文仿宋" w:eastAsia="华文仿宋" w:hAnsi="华文仿宋" w:cs="黑体" w:hint="eastAsia"/>
          <w:sz w:val="32"/>
          <w:szCs w:val="32"/>
        </w:rPr>
        <w:t>位授权点</w:t>
      </w:r>
      <w:r w:rsidR="00325A23" w:rsidRPr="00542954">
        <w:rPr>
          <w:rFonts w:ascii="华文仿宋" w:eastAsia="华文仿宋" w:hAnsi="华文仿宋" w:cs="黑体" w:hint="eastAsia"/>
          <w:sz w:val="32"/>
          <w:szCs w:val="32"/>
        </w:rPr>
        <w:t>汇总表</w:t>
      </w:r>
    </w:p>
    <w:p w:rsidR="008F437A" w:rsidRDefault="008F437A" w:rsidP="00FF475A">
      <w:pPr>
        <w:ind w:left="420" w:firstLineChars="300" w:firstLine="96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2</w:t>
      </w:r>
      <w:r w:rsidR="00FF475A">
        <w:rPr>
          <w:rFonts w:ascii="华文仿宋" w:eastAsia="华文仿宋" w:hAnsi="华文仿宋" w:cs="黑体" w:hint="eastAsia"/>
          <w:sz w:val="32"/>
          <w:szCs w:val="32"/>
        </w:rPr>
        <w:t xml:space="preserve">. </w:t>
      </w:r>
      <w:r>
        <w:rPr>
          <w:rFonts w:ascii="华文仿宋" w:eastAsia="华文仿宋" w:hAnsi="华文仿宋" w:cs="黑体" w:hint="eastAsia"/>
          <w:sz w:val="32"/>
          <w:szCs w:val="32"/>
        </w:rPr>
        <w:t>参加</w:t>
      </w:r>
      <w:r w:rsidR="0037101B">
        <w:rPr>
          <w:rFonts w:ascii="华文仿宋" w:eastAsia="华文仿宋" w:hAnsi="华文仿宋" w:cs="黑体" w:hint="eastAsia"/>
          <w:sz w:val="32"/>
          <w:szCs w:val="32"/>
        </w:rPr>
        <w:t>国家</w:t>
      </w:r>
      <w:r>
        <w:rPr>
          <w:rFonts w:ascii="华文仿宋" w:eastAsia="华文仿宋" w:hAnsi="华文仿宋" w:cs="黑体" w:hint="eastAsia"/>
          <w:sz w:val="32"/>
          <w:szCs w:val="32"/>
        </w:rPr>
        <w:t>专项评估</w:t>
      </w:r>
      <w:r w:rsidR="006234DE">
        <w:rPr>
          <w:rFonts w:ascii="华文仿宋" w:eastAsia="华文仿宋" w:hAnsi="华文仿宋" w:cs="黑体" w:hint="eastAsia"/>
          <w:sz w:val="32"/>
          <w:szCs w:val="32"/>
        </w:rPr>
        <w:t>的</w:t>
      </w:r>
      <w:r>
        <w:rPr>
          <w:rFonts w:ascii="华文仿宋" w:eastAsia="华文仿宋" w:hAnsi="华文仿宋" w:cs="黑体" w:hint="eastAsia"/>
          <w:sz w:val="32"/>
          <w:szCs w:val="32"/>
        </w:rPr>
        <w:t>学位授权点汇总表</w:t>
      </w:r>
    </w:p>
    <w:p w:rsidR="006234DE" w:rsidRPr="008F437A" w:rsidRDefault="006234DE" w:rsidP="00FF475A">
      <w:pPr>
        <w:ind w:left="420" w:firstLineChars="300" w:firstLine="960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3</w:t>
      </w:r>
      <w:r w:rsidR="00FF475A">
        <w:rPr>
          <w:rFonts w:ascii="华文仿宋" w:eastAsia="华文仿宋" w:hAnsi="华文仿宋" w:cs="黑体" w:hint="eastAsia"/>
          <w:sz w:val="32"/>
          <w:szCs w:val="32"/>
        </w:rPr>
        <w:t xml:space="preserve">. </w:t>
      </w:r>
      <w:r>
        <w:rPr>
          <w:rFonts w:ascii="华文仿宋" w:eastAsia="华文仿宋" w:hAnsi="华文仿宋" w:cs="黑体" w:hint="eastAsia"/>
          <w:sz w:val="32"/>
          <w:szCs w:val="32"/>
        </w:rPr>
        <w:t>参加江苏省评估的学位授权点汇总表</w:t>
      </w:r>
    </w:p>
    <w:p w:rsidR="009E4024" w:rsidRDefault="009E4024" w:rsidP="00B34228">
      <w:pPr>
        <w:ind w:left="420"/>
        <w:rPr>
          <w:rFonts w:ascii="华文仿宋" w:eastAsia="华文仿宋" w:hAnsi="华文仿宋" w:cs="黑体"/>
          <w:sz w:val="32"/>
          <w:szCs w:val="32"/>
        </w:rPr>
      </w:pPr>
    </w:p>
    <w:p w:rsidR="00FF3000" w:rsidRPr="0037101B" w:rsidRDefault="00FF3000" w:rsidP="00B34228">
      <w:pPr>
        <w:ind w:left="420"/>
        <w:rPr>
          <w:rFonts w:ascii="华文仿宋" w:eastAsia="华文仿宋" w:hAnsi="华文仿宋" w:cs="黑体"/>
          <w:sz w:val="32"/>
          <w:szCs w:val="32"/>
        </w:rPr>
      </w:pPr>
    </w:p>
    <w:p w:rsidR="003F6526" w:rsidRPr="00542954" w:rsidRDefault="003F6526" w:rsidP="003F6526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中国矿业大学</w:t>
      </w:r>
    </w:p>
    <w:p w:rsidR="003F6526" w:rsidRDefault="003F6526" w:rsidP="003F6526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</w:pPr>
      <w:r w:rsidRPr="00542954">
        <w:rPr>
          <w:rFonts w:ascii="华文仿宋" w:eastAsia="华文仿宋" w:hAnsi="华文仿宋" w:cs="黑体" w:hint="eastAsia"/>
          <w:sz w:val="32"/>
          <w:szCs w:val="32"/>
        </w:rPr>
        <w:t>2015年3月</w:t>
      </w:r>
      <w:r w:rsidR="007245D1">
        <w:rPr>
          <w:rFonts w:ascii="华文仿宋" w:eastAsia="华文仿宋" w:hAnsi="华文仿宋" w:cs="黑体" w:hint="eastAsia"/>
          <w:sz w:val="32"/>
          <w:szCs w:val="32"/>
        </w:rPr>
        <w:t>31</w:t>
      </w:r>
      <w:r w:rsidRPr="00542954">
        <w:rPr>
          <w:rFonts w:ascii="华文仿宋" w:eastAsia="华文仿宋" w:hAnsi="华文仿宋" w:cs="黑体" w:hint="eastAsia"/>
          <w:sz w:val="32"/>
          <w:szCs w:val="32"/>
        </w:rPr>
        <w:t>日</w:t>
      </w:r>
    </w:p>
    <w:p w:rsidR="00240797" w:rsidRDefault="00240797" w:rsidP="003F6526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</w:pPr>
    </w:p>
    <w:p w:rsidR="00647578" w:rsidRDefault="00647578" w:rsidP="003F6526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  <w:sectPr w:rsidR="00647578" w:rsidSect="00EE76EC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74BCB" w:rsidRDefault="00D74BCB" w:rsidP="003F6526">
      <w:pPr>
        <w:ind w:firstLine="570"/>
        <w:jc w:val="right"/>
        <w:rPr>
          <w:rFonts w:ascii="华文仿宋" w:eastAsia="华文仿宋" w:hAnsi="华文仿宋" w:cs="黑体"/>
          <w:sz w:val="32"/>
          <w:szCs w:val="32"/>
        </w:rPr>
      </w:pPr>
    </w:p>
    <w:tbl>
      <w:tblPr>
        <w:tblW w:w="8790" w:type="dxa"/>
        <w:jc w:val="center"/>
        <w:tblLook w:val="04A0" w:firstRow="1" w:lastRow="0" w:firstColumn="1" w:lastColumn="0" w:noHBand="0" w:noVBand="1"/>
      </w:tblPr>
      <w:tblGrid>
        <w:gridCol w:w="993"/>
        <w:gridCol w:w="4253"/>
        <w:gridCol w:w="3544"/>
      </w:tblGrid>
      <w:tr w:rsidR="00164798" w:rsidRPr="00045A8E" w:rsidTr="00647578">
        <w:trPr>
          <w:trHeight w:hRule="exact" w:val="1418"/>
          <w:jc w:val="center"/>
        </w:trPr>
        <w:tc>
          <w:tcPr>
            <w:tcW w:w="8790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75A" w:rsidRPr="00FF475A" w:rsidRDefault="00164798" w:rsidP="00FF475A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F475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附表1</w:t>
            </w:r>
            <w:r w:rsidR="00FF475A" w:rsidRPr="00FF475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</w:p>
          <w:p w:rsidR="00164798" w:rsidRPr="00FF475A" w:rsidRDefault="00164798" w:rsidP="00FF475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F475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参加学校自评的学位授权点汇总表</w:t>
            </w:r>
          </w:p>
        </w:tc>
      </w:tr>
      <w:tr w:rsidR="00164798" w:rsidRPr="00045A8E" w:rsidTr="00647578">
        <w:trPr>
          <w:trHeight w:hRule="exact" w:val="59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4798" w:rsidRPr="00045A8E" w:rsidRDefault="00164798" w:rsidP="00FF475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5A8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4798" w:rsidRPr="00045A8E" w:rsidRDefault="00164798" w:rsidP="00FF475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5A8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学位授权点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4798" w:rsidRPr="00045A8E" w:rsidRDefault="00164798" w:rsidP="00FF475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5A8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责任学院</w:t>
            </w:r>
          </w:p>
        </w:tc>
      </w:tr>
      <w:tr w:rsidR="00164798" w:rsidRPr="00045A8E" w:rsidTr="00647578">
        <w:trPr>
          <w:trHeight w:hRule="exact" w:val="54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矿业学院、化工学院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安全学院</w:t>
            </w:r>
          </w:p>
        </w:tc>
      </w:tr>
      <w:tr w:rsidR="00164798" w:rsidRPr="00045A8E" w:rsidTr="00647578">
        <w:trPr>
          <w:trHeight w:hRule="exact" w:val="50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力建学院</w:t>
            </w:r>
          </w:p>
        </w:tc>
      </w:tr>
      <w:tr w:rsidR="00164798" w:rsidRPr="00045A8E" w:rsidTr="00647578">
        <w:trPr>
          <w:trHeight w:hRule="exact" w:val="453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信电学院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检测技术与自动化</w:t>
            </w:r>
            <w:r w:rsidR="00FA5D3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装置</w:t>
            </w:r>
            <w:bookmarkStart w:id="0" w:name="_GoBack"/>
            <w:bookmarkEnd w:id="0"/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资源学院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水文学及水资源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环测学院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64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政治学理论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7578" w:rsidRPr="00045A8E" w:rsidTr="00B42BBA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578" w:rsidRPr="00647578" w:rsidRDefault="00647578" w:rsidP="00B42BB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578" w:rsidRPr="00647578" w:rsidRDefault="00647578" w:rsidP="00B42BB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578" w:rsidRPr="00647578" w:rsidRDefault="00647578" w:rsidP="00B42BB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164798" w:rsidRPr="00647578" w:rsidTr="00647578">
        <w:trPr>
          <w:trHeight w:hRule="exact" w:val="510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4798" w:rsidRPr="00647578" w:rsidRDefault="00164798" w:rsidP="00FF475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757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798" w:rsidRPr="00647578" w:rsidRDefault="00164798" w:rsidP="001C0691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757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学位授权点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798" w:rsidRPr="00647578" w:rsidRDefault="00164798" w:rsidP="00FF475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757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责任学院</w:t>
            </w:r>
          </w:p>
        </w:tc>
      </w:tr>
      <w:tr w:rsidR="00FF475A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75A" w:rsidRPr="00647578" w:rsidRDefault="00FF475A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5A" w:rsidRPr="00647578" w:rsidRDefault="00FF475A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5A" w:rsidRPr="00647578" w:rsidRDefault="00FF475A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164798" w:rsidRPr="00045A8E" w:rsidTr="00647578">
        <w:trPr>
          <w:trHeight w:hRule="exact" w:val="454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工商管理（MBA）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公共管理（MPA）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工程硕士（矿业工程）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矿业学院、化工学院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工程硕士（工业工程）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矿业学院、管理学院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工程硕士（交通运输工程）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工程硕士（安全工程）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安全学院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工程硕士（建筑与土木工程）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力建学院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工程硕士（项目管理）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力建学院、管理学院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工程硕士（机械工程）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工程硕士（仪器仪表工程）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工程硕士（控制工程）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信电学院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工程硕士（电气工程）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工程硕士（电子与通信工程）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工程硕士(化学工程)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工程硕士(生物工程)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工程硕士(动力工程)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884347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电力学院、</w:t>
            </w:r>
            <w:r w:rsidR="00164798"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工程硕士(环境工程)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884347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环测学院、</w:t>
            </w:r>
            <w:r w:rsidR="00164798"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工程硕士（材料工程）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工程硕士（计算机技术）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工程硕士（软件工程）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工程硕士（地质工程）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资源学院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工程硕士（水利工程）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工程硕士（测绘工程）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环测学院</w:t>
            </w:r>
          </w:p>
        </w:tc>
      </w:tr>
      <w:tr w:rsidR="00164798" w:rsidRPr="00045A8E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工程硕士（工业设计工程）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FF475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164798" w:rsidRPr="002755C4" w:rsidTr="00647578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798" w:rsidRPr="00647578" w:rsidRDefault="00164798" w:rsidP="002755C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A54A9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工程硕士（物流工程）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798" w:rsidRPr="00647578" w:rsidRDefault="00164798" w:rsidP="00B74EE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</w:tbl>
    <w:p w:rsidR="00647578" w:rsidRDefault="00647578">
      <w:pPr>
        <w:sectPr w:rsidR="00647578" w:rsidSect="00647578">
          <w:type w:val="continuous"/>
          <w:pgSz w:w="11906" w:h="16838"/>
          <w:pgMar w:top="1134" w:right="1797" w:bottom="1134" w:left="1797" w:header="851" w:footer="992" w:gutter="0"/>
          <w:pgNumType w:start="5"/>
          <w:cols w:space="425"/>
          <w:docGrid w:type="lines" w:linePitch="312"/>
        </w:sectPr>
      </w:pPr>
    </w:p>
    <w:tbl>
      <w:tblPr>
        <w:tblW w:w="8619" w:type="dxa"/>
        <w:jc w:val="center"/>
        <w:tblLook w:val="04A0" w:firstRow="1" w:lastRow="0" w:firstColumn="1" w:lastColumn="0" w:noHBand="0" w:noVBand="1"/>
      </w:tblPr>
      <w:tblGrid>
        <w:gridCol w:w="1393"/>
        <w:gridCol w:w="4158"/>
        <w:gridCol w:w="3068"/>
      </w:tblGrid>
      <w:tr w:rsidR="007014BB" w:rsidRPr="007014BB" w:rsidTr="00647578">
        <w:trPr>
          <w:trHeight w:val="1398"/>
          <w:jc w:val="center"/>
        </w:trPr>
        <w:tc>
          <w:tcPr>
            <w:tcW w:w="8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403" w:type="dxa"/>
              <w:tblLook w:val="04A0" w:firstRow="1" w:lastRow="0" w:firstColumn="1" w:lastColumn="0" w:noHBand="0" w:noVBand="1"/>
            </w:tblPr>
            <w:tblGrid>
              <w:gridCol w:w="1277"/>
              <w:gridCol w:w="5010"/>
              <w:gridCol w:w="2116"/>
            </w:tblGrid>
            <w:tr w:rsidR="00BE2EEE" w:rsidRPr="00BE2EEE" w:rsidTr="00FB518D">
              <w:trPr>
                <w:trHeight w:val="1418"/>
              </w:trPr>
              <w:tc>
                <w:tcPr>
                  <w:tcW w:w="84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18D" w:rsidRDefault="00FB518D" w:rsidP="00BE2EEE">
                  <w:pPr>
                    <w:widowControl/>
                    <w:jc w:val="left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FB518D">
                    <w:rPr>
                      <w:rFonts w:ascii="黑体" w:eastAsia="黑体" w:hAnsi="黑体" w:cs="宋体"/>
                      <w:b/>
                      <w:bCs/>
                      <w:noProof/>
                      <w:color w:val="000000"/>
                      <w:kern w:val="0"/>
                      <w:sz w:val="30"/>
                      <w:szCs w:val="3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B07E131" wp14:editId="285716BA">
                            <wp:simplePos x="0" y="0"/>
                            <wp:positionH relativeFrom="column">
                              <wp:posOffset>-212090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5568315" cy="1403985"/>
                            <wp:effectExtent l="0" t="0" r="13335" b="17780"/>
                            <wp:wrapNone/>
                            <wp:docPr id="307" name="文本框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68315" cy="1403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568603642"/>
                                          <w:temporary/>
                                          <w:showingPlcHdr/>
                                        </w:sdtPr>
                                        <w:sdtEndPr>
                                          <w:rPr>
                                            <w:color w:val="FFFFFF" w:themeColor="background1"/>
                                            <w14:textOutline w14:w="9525" w14:cap="rnd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sdtEndPr>
                                        <w:sdtContent>
                                          <w:p w:rsidR="00FB518D" w:rsidRPr="001C0691" w:rsidRDefault="00FB518D">
                                            <w:pPr>
                                              <w:rPr>
                                                <w:color w:val="FFFFFF" w:themeColor="background1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w:pP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[</w:t>
                                            </w: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键入文档的引述或关注点的摘要。您可将文本框放置在文档中的任何位置。请使用</w:t>
                                            </w: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“</w:t>
                                            </w: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绘图工具</w:t>
                                            </w: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”</w:t>
                                            </w: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选项卡更改引言文本框的格式。</w:t>
                                            </w:r>
                                            <w:r w:rsidRPr="001C0691">
                                              <w:rPr>
                                                <w:color w:val="FFFFFF" w:themeColor="background1"/>
                                                <w:lang w:val="zh-CN"/>
                                                <w14:textOutline w14:w="9525" w14:cap="rnd" w14:cmpd="sng" w14:algn="ctr">
                                                  <w14:solidFill>
                                                    <w14:schemeClr w14:val="bg1"/>
                                                  </w14:solidFill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07E13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2" o:spid="_x0000_s1026" type="#_x0000_t202" style="position:absolute;margin-left:-16.7pt;margin-top:.2pt;width:438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" strokecolor="white [3212]">
                            <v:textbox style="mso-fit-shape-to-text:t"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</w:sdtPr>
                                  <w:sdtEndPr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sdtEndPr>
                                  <w:sdtContent>
                                    <w:p w:rsidR="00FB518D" w:rsidRPr="001C0691" w:rsidRDefault="00FB518D">
                                      <w:pPr>
                                        <w:rPr>
                                          <w:color w:val="FFFFFF" w:themeColor="background1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[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键入文档的引述或关注点的摘要。您可将文本框放置在文档中的任何位置。请使用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“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绘图工具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”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选项卡更改引言文本框的格式。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B518D" w:rsidRDefault="00BE2EEE" w:rsidP="00BE2EEE">
                  <w:pPr>
                    <w:widowControl/>
                    <w:jc w:val="left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FB518D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附表2</w:t>
                  </w:r>
                </w:p>
                <w:p w:rsidR="00BE2EEE" w:rsidRPr="00FB518D" w:rsidRDefault="00BE2EEE" w:rsidP="00FB518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FB518D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参加</w:t>
                  </w:r>
                  <w:r w:rsidR="00DD2A75" w:rsidRPr="00FB518D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国家</w:t>
                  </w:r>
                  <w:r w:rsidRPr="00FB518D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专项评估的学位授权点汇总表</w:t>
                  </w:r>
                </w:p>
              </w:tc>
            </w:tr>
            <w:tr w:rsidR="00BE2EEE" w:rsidRPr="00BE2EEE" w:rsidTr="00C441A0">
              <w:trPr>
                <w:trHeight w:val="371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学位授权点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黑体" w:eastAsia="黑体" w:hAnsi="黑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责任学院</w:t>
                  </w:r>
                </w:p>
              </w:tc>
            </w:tr>
            <w:tr w:rsidR="00BE2EEE" w:rsidRPr="00BE2EEE" w:rsidTr="00C441A0">
              <w:trPr>
                <w:trHeight w:val="69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E2EEE" w:rsidRPr="00BE2EEE" w:rsidRDefault="00C41C32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数学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2EEE" w:rsidRPr="00BE2EEE" w:rsidRDefault="00C41C32" w:rsidP="00C41C32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理学院</w:t>
                  </w:r>
                </w:p>
              </w:tc>
            </w:tr>
            <w:tr w:rsidR="00BE2EEE" w:rsidRPr="00BE2EEE" w:rsidTr="00164798">
              <w:trPr>
                <w:trHeight w:val="56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E2EEE" w:rsidRPr="00BE2EEE" w:rsidRDefault="00C41C32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教育学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EEE" w:rsidRPr="00BE2EEE" w:rsidRDefault="00C41C32" w:rsidP="00C41C32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文法学院</w:t>
                  </w:r>
                </w:p>
              </w:tc>
            </w:tr>
            <w:tr w:rsidR="00BE2EEE" w:rsidRPr="00BE2EEE" w:rsidTr="00164798">
              <w:trPr>
                <w:trHeight w:val="50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EEE" w:rsidRPr="00BE2EEE" w:rsidRDefault="00BE2EEE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资产评估</w:t>
                  </w:r>
                  <w:r w:rsidR="00C41C32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（MV）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EEE" w:rsidRPr="00BE2EEE" w:rsidRDefault="00BE2EEE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管理学院</w:t>
                  </w:r>
                </w:p>
              </w:tc>
            </w:tr>
            <w:tr w:rsidR="00164798" w:rsidRPr="00BE2EEE" w:rsidTr="00164798">
              <w:trPr>
                <w:trHeight w:val="56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9A68B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会计</w:t>
                  </w:r>
                  <w:r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（</w:t>
                  </w:r>
                  <w:r w:rsidRPr="00C41C32"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  <w:t>MPAcc</w:t>
                  </w:r>
                  <w:r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4798" w:rsidRPr="00BE2EEE" w:rsidRDefault="00164798" w:rsidP="00BE2EEE">
                  <w:pPr>
                    <w:widowControl/>
                    <w:jc w:val="left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4798" w:rsidRPr="00BE2EEE" w:rsidTr="00164798">
              <w:trPr>
                <w:trHeight w:val="594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798" w:rsidRPr="00BE2EEE" w:rsidRDefault="00164798" w:rsidP="009A68B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4798" w:rsidRPr="00BE2EEE" w:rsidRDefault="00164798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工程管理</w:t>
                  </w:r>
                  <w:r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（MEM）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力建学院</w:t>
                  </w:r>
                </w:p>
              </w:tc>
            </w:tr>
            <w:tr w:rsidR="00164798" w:rsidRPr="00BE2EEE" w:rsidTr="00164798">
              <w:trPr>
                <w:trHeight w:val="56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798" w:rsidRPr="00BE2EEE" w:rsidRDefault="00164798" w:rsidP="009A68B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翻译</w:t>
                  </w:r>
                  <w:r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（MTI）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外文学院</w:t>
                  </w:r>
                </w:p>
              </w:tc>
            </w:tr>
            <w:tr w:rsidR="00164798" w:rsidRPr="00BE2EEE" w:rsidTr="00164798">
              <w:trPr>
                <w:trHeight w:val="579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798" w:rsidRPr="00BE2EEE" w:rsidRDefault="00164798" w:rsidP="009A68B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艺术</w:t>
                  </w:r>
                  <w:r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（MFA）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4798" w:rsidRPr="00BE2EEE" w:rsidRDefault="00164798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艺术学院</w:t>
                  </w:r>
                </w:p>
              </w:tc>
            </w:tr>
            <w:tr w:rsidR="00164798" w:rsidRPr="00BE2EEE" w:rsidTr="00164798">
              <w:trPr>
                <w:trHeight w:val="653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4798" w:rsidRPr="00BE2EEE" w:rsidRDefault="00164798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2755C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体育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4798" w:rsidRPr="00BE2EEE" w:rsidRDefault="00164798" w:rsidP="00BE2E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E2EEE">
                    <w:rPr>
                      <w:rFonts w:ascii="华文仿宋" w:eastAsia="华文仿宋" w:hAnsi="华文仿宋" w:cs="宋体" w:hint="eastAsia"/>
                      <w:color w:val="000000"/>
                      <w:kern w:val="0"/>
                      <w:sz w:val="28"/>
                      <w:szCs w:val="28"/>
                    </w:rPr>
                    <w:t>体育学院</w:t>
                  </w:r>
                </w:p>
              </w:tc>
            </w:tr>
          </w:tbl>
          <w:p w:rsidR="00EF0A97" w:rsidRDefault="00EF0A97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BE2EEE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E2EEE" w:rsidRDefault="001C0691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518D">
              <w:rPr>
                <w:rFonts w:ascii="黑体" w:eastAsia="黑体" w:hAnsi="黑体" w:cs="宋体"/>
                <w:b/>
                <w:bCs/>
                <w:noProof/>
                <w:color w:val="000000"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E030F" wp14:editId="0C784965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314960</wp:posOffset>
                      </wp:positionV>
                      <wp:extent cx="5640070" cy="1403985"/>
                      <wp:effectExtent l="0" t="0" r="17780" b="1778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00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05316939"/>
                                    <w:temporary/>
                                    <w:showingPlcHdr/>
                                  </w:sdtPr>
                                  <w:sdtEndPr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sdtEndPr>
                                  <w:sdtContent>
                                    <w:p w:rsidR="001C0691" w:rsidRPr="001C0691" w:rsidRDefault="001C0691" w:rsidP="001C0691">
                                      <w:pPr>
                                        <w:rPr>
                                          <w:color w:val="FFFFFF" w:themeColor="background1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[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键入文档的引述或关注点的摘要。您可将文本框放置在文档中的任何位置。请使用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“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绘图工具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”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选项卡更改引言文本框的格式。</w:t>
                                      </w:r>
                                      <w:r w:rsidRPr="001C0691">
                                        <w:rPr>
                                          <w:color w:val="FFFFFF" w:themeColor="background1"/>
                                          <w:lang w:val="zh-CN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030F" id="_x0000_s1027" type="#_x0000_t202" style="position:absolute;margin-left:-8.1pt;margin-top:24.8pt;width:444.1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" strokecolor="window">
                      <v:textbox style="mso-fit-shape-to-text:t">
                        <w:txbxContent>
                          <w:sdt>
                            <w:sdtPr>
                              <w:id w:val="2005316939"/>
                              <w:temporary/>
                              <w:showingPlcHdr/>
                            </w:sdtPr>
                            <w:sdtEnd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sdtEndPr>
                            <w:sdtContent>
                              <w:p w:rsidR="001C0691" w:rsidRPr="001C0691" w:rsidRDefault="001C0691" w:rsidP="001C0691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[</w:t>
                                </w: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键入文档的引述或关注点的摘要。您可将文本框放置在文档中的任何位置。请使用</w:t>
                                </w: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“</w:t>
                                </w: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绘图工具</w:t>
                                </w: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”</w:t>
                                </w: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选项卡更改引言文本框的格式。</w:t>
                                </w:r>
                                <w:r w:rsidRPr="001C0691">
                                  <w:rPr>
                                    <w:color w:val="FFFFFF" w:themeColor="background1"/>
                                    <w:lang w:val="zh-CN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FB518D" w:rsidRDefault="00FB518D" w:rsidP="007014B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B518D" w:rsidRDefault="007014BB" w:rsidP="00DD2A7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51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附表3</w:t>
            </w:r>
          </w:p>
          <w:p w:rsidR="007014BB" w:rsidRPr="00FB518D" w:rsidRDefault="007014BB" w:rsidP="00FB51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B51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参加江苏省评估的学位授权点汇总表</w:t>
            </w:r>
          </w:p>
        </w:tc>
      </w:tr>
      <w:tr w:rsidR="00FB518D" w:rsidRPr="00FB518D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8D" w:rsidRPr="00FB518D" w:rsidRDefault="00FB518D" w:rsidP="00FB518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FB518D"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8D" w:rsidRPr="00FB518D" w:rsidRDefault="00FB518D" w:rsidP="00FB518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FB518D">
              <w:rPr>
                <w:rFonts w:ascii="黑体" w:eastAsia="黑体" w:hint="eastAsia"/>
                <w:b/>
                <w:sz w:val="28"/>
                <w:szCs w:val="28"/>
              </w:rPr>
              <w:t>学位授权点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518D" w:rsidRPr="00FB518D" w:rsidRDefault="00FB518D" w:rsidP="00FB518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FB518D">
              <w:rPr>
                <w:rFonts w:ascii="黑体" w:eastAsia="黑体" w:hint="eastAsia"/>
                <w:b/>
                <w:sz w:val="28"/>
                <w:szCs w:val="28"/>
              </w:rPr>
              <w:t>责任学院</w:t>
            </w:r>
          </w:p>
        </w:tc>
      </w:tr>
      <w:tr w:rsidR="007014BB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BB" w:rsidRPr="00C441A0" w:rsidRDefault="007014BB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BB" w:rsidRPr="00C441A0" w:rsidRDefault="007014BB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BB" w:rsidRPr="00C441A0" w:rsidRDefault="007014BB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力建学院</w:t>
            </w:r>
          </w:p>
        </w:tc>
      </w:tr>
      <w:tr w:rsidR="00164798" w:rsidRPr="007014BB" w:rsidTr="00647578">
        <w:trPr>
          <w:trHeight w:val="517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城乡规划学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仪器科学与技术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884347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控制科学与技术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信电学院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884347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地球物理学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资源学院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化工学院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动力工程与工程热物理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材料科学与工程（已评）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6106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164798" w:rsidRPr="007014BB" w:rsidTr="00647578">
        <w:trPr>
          <w:trHeight w:val="480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A727E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7014BB" w:rsidRDefault="00164798" w:rsidP="00A727E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</w:tr>
      <w:tr w:rsidR="00164798" w:rsidRPr="007014BB" w:rsidTr="00647578">
        <w:trPr>
          <w:trHeight w:val="672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7014BB" w:rsidRDefault="00164798" w:rsidP="00A727E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884347" w:rsidP="00164798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</w:tr>
      <w:tr w:rsidR="00164798" w:rsidRPr="007014BB" w:rsidTr="00647578">
        <w:trPr>
          <w:trHeight w:val="671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7014BB" w:rsidRDefault="00164798" w:rsidP="001D033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884347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C441A0" w:rsidRDefault="00164798" w:rsidP="007014BB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 w:rsidRPr="00C441A0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7014BB" w:rsidRDefault="00164798" w:rsidP="007014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7014BB" w:rsidRDefault="00164798" w:rsidP="007014B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哲学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7014BB" w:rsidRDefault="00164798" w:rsidP="007014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98" w:rsidRPr="007014BB" w:rsidRDefault="00164798" w:rsidP="007014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7014BB" w:rsidRDefault="00164798" w:rsidP="007014B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外国语言文学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7014BB" w:rsidRDefault="00164798" w:rsidP="007014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外文学院</w:t>
            </w:r>
          </w:p>
        </w:tc>
      </w:tr>
      <w:tr w:rsidR="00164798" w:rsidRPr="007014BB" w:rsidTr="00647578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7014BB" w:rsidRDefault="00164798" w:rsidP="007014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98" w:rsidRPr="007014BB" w:rsidRDefault="00164798" w:rsidP="007014B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98" w:rsidRPr="007014BB" w:rsidRDefault="00164798" w:rsidP="007014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7014B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</w:tr>
    </w:tbl>
    <w:p w:rsidR="007014BB" w:rsidRPr="007014BB" w:rsidRDefault="007014BB" w:rsidP="003A1280">
      <w:pPr>
        <w:rPr>
          <w:rFonts w:ascii="黑体" w:eastAsia="黑体" w:hAnsi="黑体" w:cs="黑体"/>
          <w:sz w:val="28"/>
          <w:szCs w:val="28"/>
        </w:rPr>
      </w:pPr>
    </w:p>
    <w:sectPr w:rsidR="007014BB" w:rsidRPr="007014BB" w:rsidSect="00647578">
      <w:type w:val="continuous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A7" w:rsidRDefault="007D23A7" w:rsidP="004D0459">
      <w:r>
        <w:separator/>
      </w:r>
    </w:p>
  </w:endnote>
  <w:endnote w:type="continuationSeparator" w:id="0">
    <w:p w:rsidR="007D23A7" w:rsidRDefault="007D23A7" w:rsidP="004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732"/>
      <w:docPartObj>
        <w:docPartGallery w:val="Page Numbers (Bottom of Page)"/>
        <w:docPartUnique/>
      </w:docPartObj>
    </w:sdtPr>
    <w:sdtEndPr/>
    <w:sdtContent>
      <w:p w:rsidR="006B3277" w:rsidRDefault="00BB09F8">
        <w:pPr>
          <w:pStyle w:val="a5"/>
          <w:jc w:val="center"/>
        </w:pPr>
        <w:r>
          <w:fldChar w:fldCharType="begin"/>
        </w:r>
        <w:r w:rsidR="006B3277">
          <w:instrText>PAGE   \* MERGEFORMAT</w:instrText>
        </w:r>
        <w:r>
          <w:fldChar w:fldCharType="separate"/>
        </w:r>
        <w:r w:rsidR="00FA5D30" w:rsidRPr="00FA5D30">
          <w:rPr>
            <w:noProof/>
            <w:lang w:val="zh-CN"/>
          </w:rPr>
          <w:t>6</w:t>
        </w:r>
        <w:r>
          <w:fldChar w:fldCharType="end"/>
        </w:r>
      </w:p>
    </w:sdtContent>
  </w:sdt>
  <w:p w:rsidR="006B3277" w:rsidRDefault="006B32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350773"/>
      <w:docPartObj>
        <w:docPartGallery w:val="Page Numbers (Bottom of Page)"/>
        <w:docPartUnique/>
      </w:docPartObj>
    </w:sdtPr>
    <w:sdtEndPr/>
    <w:sdtContent>
      <w:p w:rsidR="006B3277" w:rsidRDefault="00BB09F8">
        <w:pPr>
          <w:pStyle w:val="a5"/>
          <w:jc w:val="center"/>
        </w:pPr>
        <w:r>
          <w:fldChar w:fldCharType="begin"/>
        </w:r>
        <w:r w:rsidR="006B3277">
          <w:instrText>PAGE   \* MERGEFORMAT</w:instrText>
        </w:r>
        <w:r>
          <w:fldChar w:fldCharType="separate"/>
        </w:r>
        <w:r w:rsidR="006B3277" w:rsidRPr="00EE76EC">
          <w:rPr>
            <w:noProof/>
            <w:lang w:val="zh-CN"/>
          </w:rPr>
          <w:t>1</w:t>
        </w:r>
        <w:r>
          <w:fldChar w:fldCharType="end"/>
        </w:r>
      </w:p>
    </w:sdtContent>
  </w:sdt>
  <w:p w:rsidR="006B3277" w:rsidRDefault="006B3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A7" w:rsidRDefault="007D23A7" w:rsidP="004D0459">
      <w:r>
        <w:separator/>
      </w:r>
    </w:p>
  </w:footnote>
  <w:footnote w:type="continuationSeparator" w:id="0">
    <w:p w:rsidR="007D23A7" w:rsidRDefault="007D23A7" w:rsidP="004D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A5"/>
    <w:multiLevelType w:val="hybridMultilevel"/>
    <w:tmpl w:val="2786C84C"/>
    <w:lvl w:ilvl="0" w:tplc="B64644BA">
      <w:start w:val="1"/>
      <w:numFmt w:val="decimal"/>
      <w:lvlText w:val="（%1）"/>
      <w:lvlJc w:val="left"/>
      <w:pPr>
        <w:ind w:left="18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07BB4210"/>
    <w:multiLevelType w:val="hybridMultilevel"/>
    <w:tmpl w:val="5B06918A"/>
    <w:lvl w:ilvl="0" w:tplc="6CDC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D23E93"/>
    <w:multiLevelType w:val="hybridMultilevel"/>
    <w:tmpl w:val="185C02B0"/>
    <w:lvl w:ilvl="0" w:tplc="6702378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2808B8"/>
    <w:multiLevelType w:val="hybridMultilevel"/>
    <w:tmpl w:val="10D89DBA"/>
    <w:lvl w:ilvl="0" w:tplc="7ABABD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4C863F9"/>
    <w:multiLevelType w:val="hybridMultilevel"/>
    <w:tmpl w:val="5DA26250"/>
    <w:lvl w:ilvl="0" w:tplc="EA56A13E">
      <w:start w:val="1"/>
      <w:numFmt w:val="decimal"/>
      <w:suff w:val="nothing"/>
      <w:lvlText w:val="（%1）"/>
      <w:lvlJc w:val="left"/>
      <w:pPr>
        <w:ind w:left="1838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5" w15:restartNumberingAfterBreak="0">
    <w:nsid w:val="1ADE77B0"/>
    <w:multiLevelType w:val="hybridMultilevel"/>
    <w:tmpl w:val="C0AAE568"/>
    <w:lvl w:ilvl="0" w:tplc="0750C3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 w15:restartNumberingAfterBreak="0">
    <w:nsid w:val="1B751923"/>
    <w:multiLevelType w:val="hybridMultilevel"/>
    <w:tmpl w:val="F320B000"/>
    <w:lvl w:ilvl="0" w:tplc="19CABD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0A46F2A"/>
    <w:multiLevelType w:val="hybridMultilevel"/>
    <w:tmpl w:val="29C6F2A8"/>
    <w:lvl w:ilvl="0" w:tplc="545B1792">
      <w:start w:val="1"/>
      <w:numFmt w:val="decimal"/>
      <w:lvlText w:val="（%1）"/>
      <w:lvlJc w:val="left"/>
      <w:pPr>
        <w:ind w:left="10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1AA3516"/>
    <w:multiLevelType w:val="hybridMultilevel"/>
    <w:tmpl w:val="DDA6BBB0"/>
    <w:lvl w:ilvl="0" w:tplc="78D2A73A">
      <w:start w:val="1"/>
      <w:numFmt w:val="decimal"/>
      <w:lvlText w:val="%1."/>
      <w:lvlJc w:val="left"/>
      <w:pPr>
        <w:ind w:left="1155" w:hanging="36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9" w15:restartNumberingAfterBreak="0">
    <w:nsid w:val="22781A5E"/>
    <w:multiLevelType w:val="hybridMultilevel"/>
    <w:tmpl w:val="399EF5FC"/>
    <w:lvl w:ilvl="0" w:tplc="8F72B1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3D02549"/>
    <w:multiLevelType w:val="hybridMultilevel"/>
    <w:tmpl w:val="67B62C56"/>
    <w:lvl w:ilvl="0" w:tplc="45ECBA7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82D1E77"/>
    <w:multiLevelType w:val="hybridMultilevel"/>
    <w:tmpl w:val="FEF24554"/>
    <w:lvl w:ilvl="0" w:tplc="B3264F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30367D"/>
    <w:multiLevelType w:val="hybridMultilevel"/>
    <w:tmpl w:val="51688FA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E1672"/>
    <w:multiLevelType w:val="hybridMultilevel"/>
    <w:tmpl w:val="9F4E1074"/>
    <w:lvl w:ilvl="0" w:tplc="49CC8DE8">
      <w:start w:val="1"/>
      <w:numFmt w:val="decimal"/>
      <w:lvlText w:val="（%1）"/>
      <w:lvlJc w:val="left"/>
      <w:pPr>
        <w:ind w:left="206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CE53372"/>
    <w:multiLevelType w:val="hybridMultilevel"/>
    <w:tmpl w:val="F928023A"/>
    <w:lvl w:ilvl="0" w:tplc="35DE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28AFD6"/>
    <w:multiLevelType w:val="singleLevel"/>
    <w:tmpl w:val="5428AFD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" w15:restartNumberingAfterBreak="0">
    <w:nsid w:val="545B1792"/>
    <w:multiLevelType w:val="singleLevel"/>
    <w:tmpl w:val="545B1792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17" w15:restartNumberingAfterBreak="0">
    <w:nsid w:val="545B17CE"/>
    <w:multiLevelType w:val="singleLevel"/>
    <w:tmpl w:val="545B17C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8" w15:restartNumberingAfterBreak="0">
    <w:nsid w:val="545B1808"/>
    <w:multiLevelType w:val="singleLevel"/>
    <w:tmpl w:val="545B1808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19" w15:restartNumberingAfterBreak="0">
    <w:nsid w:val="545B1834"/>
    <w:multiLevelType w:val="singleLevel"/>
    <w:tmpl w:val="545B1834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20" w15:restartNumberingAfterBreak="0">
    <w:nsid w:val="5486F97D"/>
    <w:multiLevelType w:val="singleLevel"/>
    <w:tmpl w:val="5486F97D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 w15:restartNumberingAfterBreak="0">
    <w:nsid w:val="54870CE2"/>
    <w:multiLevelType w:val="singleLevel"/>
    <w:tmpl w:val="54870CE2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22" w15:restartNumberingAfterBreak="0">
    <w:nsid w:val="560C62B3"/>
    <w:multiLevelType w:val="hybridMultilevel"/>
    <w:tmpl w:val="10CA9AFE"/>
    <w:lvl w:ilvl="0" w:tplc="4078926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B3402A6"/>
    <w:multiLevelType w:val="hybridMultilevel"/>
    <w:tmpl w:val="27DC6BD8"/>
    <w:lvl w:ilvl="0" w:tplc="AEC09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CDC0664"/>
    <w:multiLevelType w:val="hybridMultilevel"/>
    <w:tmpl w:val="CD4801C0"/>
    <w:lvl w:ilvl="0" w:tplc="58809B8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A590C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8"/>
  </w:num>
  <w:num w:numId="5">
    <w:abstractNumId w:val="21"/>
  </w:num>
  <w:num w:numId="6">
    <w:abstractNumId w:val="19"/>
  </w:num>
  <w:num w:numId="7">
    <w:abstractNumId w:val="22"/>
  </w:num>
  <w:num w:numId="8">
    <w:abstractNumId w:val="23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20"/>
  </w:num>
  <w:num w:numId="14">
    <w:abstractNumId w:val="8"/>
  </w:num>
  <w:num w:numId="15">
    <w:abstractNumId w:val="10"/>
  </w:num>
  <w:num w:numId="16">
    <w:abstractNumId w:val="5"/>
  </w:num>
  <w:num w:numId="17">
    <w:abstractNumId w:val="9"/>
  </w:num>
  <w:num w:numId="18">
    <w:abstractNumId w:val="1"/>
  </w:num>
  <w:num w:numId="19">
    <w:abstractNumId w:val="24"/>
  </w:num>
  <w:num w:numId="20">
    <w:abstractNumId w:val="14"/>
  </w:num>
  <w:num w:numId="21">
    <w:abstractNumId w:val="11"/>
  </w:num>
  <w:num w:numId="22">
    <w:abstractNumId w:val="3"/>
  </w:num>
  <w:num w:numId="23">
    <w:abstractNumId w:val="25"/>
  </w:num>
  <w:num w:numId="24">
    <w:abstractNumId w:val="4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27"/>
    <w:rsid w:val="000032A6"/>
    <w:rsid w:val="0000772B"/>
    <w:rsid w:val="000201F4"/>
    <w:rsid w:val="000410BB"/>
    <w:rsid w:val="00082838"/>
    <w:rsid w:val="0009381C"/>
    <w:rsid w:val="000B4B53"/>
    <w:rsid w:val="000D010C"/>
    <w:rsid w:val="000E0BA4"/>
    <w:rsid w:val="000F0B6B"/>
    <w:rsid w:val="0010220E"/>
    <w:rsid w:val="001113E7"/>
    <w:rsid w:val="0011288A"/>
    <w:rsid w:val="00121F30"/>
    <w:rsid w:val="00131960"/>
    <w:rsid w:val="00143727"/>
    <w:rsid w:val="00150D93"/>
    <w:rsid w:val="001513DA"/>
    <w:rsid w:val="001615DE"/>
    <w:rsid w:val="00164798"/>
    <w:rsid w:val="001703B1"/>
    <w:rsid w:val="001736E2"/>
    <w:rsid w:val="00176472"/>
    <w:rsid w:val="0018222A"/>
    <w:rsid w:val="001B4CE9"/>
    <w:rsid w:val="001B7341"/>
    <w:rsid w:val="001C0691"/>
    <w:rsid w:val="001C2327"/>
    <w:rsid w:val="001D00C6"/>
    <w:rsid w:val="001E3E98"/>
    <w:rsid w:val="001E496D"/>
    <w:rsid w:val="001F0B9A"/>
    <w:rsid w:val="001F4220"/>
    <w:rsid w:val="002027BE"/>
    <w:rsid w:val="002077FC"/>
    <w:rsid w:val="00234DA6"/>
    <w:rsid w:val="002375A2"/>
    <w:rsid w:val="00240797"/>
    <w:rsid w:val="00241ED2"/>
    <w:rsid w:val="002755C4"/>
    <w:rsid w:val="002775BA"/>
    <w:rsid w:val="0028215B"/>
    <w:rsid w:val="002825FB"/>
    <w:rsid w:val="00284601"/>
    <w:rsid w:val="00294E78"/>
    <w:rsid w:val="002A163A"/>
    <w:rsid w:val="002D0DF5"/>
    <w:rsid w:val="002E4677"/>
    <w:rsid w:val="002E6109"/>
    <w:rsid w:val="002E6B75"/>
    <w:rsid w:val="00305858"/>
    <w:rsid w:val="0031091C"/>
    <w:rsid w:val="00311573"/>
    <w:rsid w:val="00325370"/>
    <w:rsid w:val="00325A23"/>
    <w:rsid w:val="003349C1"/>
    <w:rsid w:val="0034324A"/>
    <w:rsid w:val="00356800"/>
    <w:rsid w:val="0035713A"/>
    <w:rsid w:val="003639E5"/>
    <w:rsid w:val="00364CC2"/>
    <w:rsid w:val="003656BA"/>
    <w:rsid w:val="0037101B"/>
    <w:rsid w:val="003876FA"/>
    <w:rsid w:val="00393BCA"/>
    <w:rsid w:val="003945EC"/>
    <w:rsid w:val="003A1280"/>
    <w:rsid w:val="003A2F65"/>
    <w:rsid w:val="003A6D87"/>
    <w:rsid w:val="003B0969"/>
    <w:rsid w:val="003F4B33"/>
    <w:rsid w:val="003F6526"/>
    <w:rsid w:val="00407994"/>
    <w:rsid w:val="00410581"/>
    <w:rsid w:val="004175E3"/>
    <w:rsid w:val="004247B8"/>
    <w:rsid w:val="004328BA"/>
    <w:rsid w:val="0043452F"/>
    <w:rsid w:val="00444BC4"/>
    <w:rsid w:val="00466E04"/>
    <w:rsid w:val="00474E6D"/>
    <w:rsid w:val="00476A78"/>
    <w:rsid w:val="00477CE0"/>
    <w:rsid w:val="00480954"/>
    <w:rsid w:val="004875A5"/>
    <w:rsid w:val="00490066"/>
    <w:rsid w:val="004B2CCF"/>
    <w:rsid w:val="004B3F88"/>
    <w:rsid w:val="004B5BAB"/>
    <w:rsid w:val="004C57B5"/>
    <w:rsid w:val="004C6526"/>
    <w:rsid w:val="004D0459"/>
    <w:rsid w:val="004D62FD"/>
    <w:rsid w:val="004E2DCB"/>
    <w:rsid w:val="005144ED"/>
    <w:rsid w:val="00514CC3"/>
    <w:rsid w:val="005151FB"/>
    <w:rsid w:val="00516973"/>
    <w:rsid w:val="00521121"/>
    <w:rsid w:val="00530CA6"/>
    <w:rsid w:val="005364BF"/>
    <w:rsid w:val="00542954"/>
    <w:rsid w:val="00561E8B"/>
    <w:rsid w:val="00577068"/>
    <w:rsid w:val="0057772D"/>
    <w:rsid w:val="00587AD1"/>
    <w:rsid w:val="00590B16"/>
    <w:rsid w:val="00592AB7"/>
    <w:rsid w:val="00593176"/>
    <w:rsid w:val="00595ED5"/>
    <w:rsid w:val="00597759"/>
    <w:rsid w:val="005C648D"/>
    <w:rsid w:val="005F6C38"/>
    <w:rsid w:val="005F7F6E"/>
    <w:rsid w:val="00607793"/>
    <w:rsid w:val="00611A93"/>
    <w:rsid w:val="006122F5"/>
    <w:rsid w:val="00613319"/>
    <w:rsid w:val="006234DE"/>
    <w:rsid w:val="00623C6F"/>
    <w:rsid w:val="006243BD"/>
    <w:rsid w:val="00635898"/>
    <w:rsid w:val="00645288"/>
    <w:rsid w:val="00647578"/>
    <w:rsid w:val="00665A5C"/>
    <w:rsid w:val="00671D30"/>
    <w:rsid w:val="0069172D"/>
    <w:rsid w:val="00691BF3"/>
    <w:rsid w:val="0069510E"/>
    <w:rsid w:val="006B3277"/>
    <w:rsid w:val="006F5855"/>
    <w:rsid w:val="007014BB"/>
    <w:rsid w:val="00701639"/>
    <w:rsid w:val="007214FE"/>
    <w:rsid w:val="007245D1"/>
    <w:rsid w:val="00726032"/>
    <w:rsid w:val="0073226D"/>
    <w:rsid w:val="00732D00"/>
    <w:rsid w:val="00772A21"/>
    <w:rsid w:val="00782F9D"/>
    <w:rsid w:val="00791246"/>
    <w:rsid w:val="00792E2D"/>
    <w:rsid w:val="007B0E08"/>
    <w:rsid w:val="007B6A08"/>
    <w:rsid w:val="007D23A7"/>
    <w:rsid w:val="007E1619"/>
    <w:rsid w:val="007E2368"/>
    <w:rsid w:val="007F34D5"/>
    <w:rsid w:val="00813BFD"/>
    <w:rsid w:val="00813C8F"/>
    <w:rsid w:val="00816B2B"/>
    <w:rsid w:val="00816BAA"/>
    <w:rsid w:val="00822F8B"/>
    <w:rsid w:val="00833B88"/>
    <w:rsid w:val="0085634A"/>
    <w:rsid w:val="00862C95"/>
    <w:rsid w:val="008747EF"/>
    <w:rsid w:val="00874C68"/>
    <w:rsid w:val="00884347"/>
    <w:rsid w:val="00887807"/>
    <w:rsid w:val="008964B3"/>
    <w:rsid w:val="008C5723"/>
    <w:rsid w:val="008C5939"/>
    <w:rsid w:val="008D34B4"/>
    <w:rsid w:val="008F437A"/>
    <w:rsid w:val="0090413A"/>
    <w:rsid w:val="00911F93"/>
    <w:rsid w:val="009157C6"/>
    <w:rsid w:val="00915C0C"/>
    <w:rsid w:val="0092181D"/>
    <w:rsid w:val="009221E7"/>
    <w:rsid w:val="00957CCE"/>
    <w:rsid w:val="00962D0F"/>
    <w:rsid w:val="009752DF"/>
    <w:rsid w:val="009939C8"/>
    <w:rsid w:val="009B42D7"/>
    <w:rsid w:val="009C2C00"/>
    <w:rsid w:val="009D0599"/>
    <w:rsid w:val="009E4024"/>
    <w:rsid w:val="009E6DF2"/>
    <w:rsid w:val="00A00411"/>
    <w:rsid w:val="00A0483C"/>
    <w:rsid w:val="00A05A44"/>
    <w:rsid w:val="00A26E03"/>
    <w:rsid w:val="00A37575"/>
    <w:rsid w:val="00A54A9E"/>
    <w:rsid w:val="00A82ED5"/>
    <w:rsid w:val="00A84AD7"/>
    <w:rsid w:val="00A84CF8"/>
    <w:rsid w:val="00A9168A"/>
    <w:rsid w:val="00A9388C"/>
    <w:rsid w:val="00AA3607"/>
    <w:rsid w:val="00AA753F"/>
    <w:rsid w:val="00AC0B88"/>
    <w:rsid w:val="00AC299E"/>
    <w:rsid w:val="00AD6382"/>
    <w:rsid w:val="00AF4506"/>
    <w:rsid w:val="00B02131"/>
    <w:rsid w:val="00B25690"/>
    <w:rsid w:val="00B34228"/>
    <w:rsid w:val="00B37403"/>
    <w:rsid w:val="00B46F0A"/>
    <w:rsid w:val="00B6307B"/>
    <w:rsid w:val="00B74EE5"/>
    <w:rsid w:val="00BB09F8"/>
    <w:rsid w:val="00BD5F83"/>
    <w:rsid w:val="00BE2B27"/>
    <w:rsid w:val="00BE2EEE"/>
    <w:rsid w:val="00BF3331"/>
    <w:rsid w:val="00C0527A"/>
    <w:rsid w:val="00C05B96"/>
    <w:rsid w:val="00C41C32"/>
    <w:rsid w:val="00C441A0"/>
    <w:rsid w:val="00C51324"/>
    <w:rsid w:val="00C57CC6"/>
    <w:rsid w:val="00C742D8"/>
    <w:rsid w:val="00C8258B"/>
    <w:rsid w:val="00C926D8"/>
    <w:rsid w:val="00CF4B64"/>
    <w:rsid w:val="00D01537"/>
    <w:rsid w:val="00D17464"/>
    <w:rsid w:val="00D34B94"/>
    <w:rsid w:val="00D37AF5"/>
    <w:rsid w:val="00D54AE8"/>
    <w:rsid w:val="00D640D9"/>
    <w:rsid w:val="00D74BCB"/>
    <w:rsid w:val="00D91D58"/>
    <w:rsid w:val="00D95E30"/>
    <w:rsid w:val="00DB5E57"/>
    <w:rsid w:val="00DD295B"/>
    <w:rsid w:val="00DD2A75"/>
    <w:rsid w:val="00E3624E"/>
    <w:rsid w:val="00E56659"/>
    <w:rsid w:val="00E57046"/>
    <w:rsid w:val="00E877FF"/>
    <w:rsid w:val="00E9287E"/>
    <w:rsid w:val="00EB6678"/>
    <w:rsid w:val="00ED400F"/>
    <w:rsid w:val="00ED45B0"/>
    <w:rsid w:val="00ED7567"/>
    <w:rsid w:val="00EE76EC"/>
    <w:rsid w:val="00EF0A97"/>
    <w:rsid w:val="00F03868"/>
    <w:rsid w:val="00F043E4"/>
    <w:rsid w:val="00F07950"/>
    <w:rsid w:val="00F21828"/>
    <w:rsid w:val="00F23A9B"/>
    <w:rsid w:val="00F53296"/>
    <w:rsid w:val="00F63947"/>
    <w:rsid w:val="00F80C7E"/>
    <w:rsid w:val="00F85557"/>
    <w:rsid w:val="00F9401D"/>
    <w:rsid w:val="00FA5D30"/>
    <w:rsid w:val="00FB24E4"/>
    <w:rsid w:val="00FB518D"/>
    <w:rsid w:val="00FB53D4"/>
    <w:rsid w:val="00FB5BA9"/>
    <w:rsid w:val="00FD045F"/>
    <w:rsid w:val="00FE78BD"/>
    <w:rsid w:val="00FF1C51"/>
    <w:rsid w:val="00FF3000"/>
    <w:rsid w:val="00FF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3E4F"/>
  <w15:docId w15:val="{04A8CE9A-1F8C-4061-B3CB-1E2BC85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459"/>
    <w:rPr>
      <w:sz w:val="18"/>
      <w:szCs w:val="18"/>
    </w:rPr>
  </w:style>
  <w:style w:type="paragraph" w:styleId="a7">
    <w:name w:val="List Paragraph"/>
    <w:basedOn w:val="a"/>
    <w:uiPriority w:val="34"/>
    <w:qFormat/>
    <w:rsid w:val="00862C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62C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C95"/>
    <w:rPr>
      <w:sz w:val="18"/>
      <w:szCs w:val="18"/>
    </w:rPr>
  </w:style>
  <w:style w:type="table" w:styleId="aa">
    <w:name w:val="Table Grid"/>
    <w:basedOn w:val="a1"/>
    <w:uiPriority w:val="59"/>
    <w:rsid w:val="00C8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F6526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F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kb.cumt.edu.cn/32/0a/c845a78346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FB8A-BAA8-49CA-85D2-EA66503A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10</Pages>
  <Words>527</Words>
  <Characters>3007</Characters>
  <Application>Microsoft Office Word</Application>
  <DocSecurity>0</DocSecurity>
  <Lines>25</Lines>
  <Paragraphs>7</Paragraphs>
  <ScaleCrop>false</ScaleCrop>
  <Company>新萝卜家园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新萝卜家园</dc:creator>
  <cp:keywords/>
  <dc:description/>
  <cp:lastModifiedBy>周天建</cp:lastModifiedBy>
  <cp:revision>43</cp:revision>
  <cp:lastPrinted>2015-04-01T03:34:00Z</cp:lastPrinted>
  <dcterms:created xsi:type="dcterms:W3CDTF">2015-03-31T09:07:00Z</dcterms:created>
  <dcterms:modified xsi:type="dcterms:W3CDTF">2017-04-28T00:25:00Z</dcterms:modified>
</cp:coreProperties>
</file>